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2" w:lineRule="exact"/>
        <w:jc w:val="center"/>
        <w:rPr>
          <w:rFonts w:hint="eastAsia" w:ascii="方正小标宋简体" w:eastAsia="方正小标宋简体"/>
          <w:bCs/>
          <w:sz w:val="40"/>
          <w:szCs w:val="40"/>
        </w:rPr>
      </w:pPr>
      <w:r>
        <w:rPr>
          <w:rFonts w:hint="eastAsia" w:ascii="方正小标宋简体" w:eastAsia="方正小标宋简体"/>
          <w:bCs/>
          <w:sz w:val="40"/>
          <w:szCs w:val="40"/>
          <w:u w:val="none"/>
          <w:lang w:eastAsia="zh-CN"/>
        </w:rPr>
        <w:t>四方台区区本级</w:t>
      </w:r>
      <w:r>
        <w:rPr>
          <w:rFonts w:hint="eastAsia" w:ascii="方正小标宋简体" w:eastAsia="方正小标宋简体"/>
          <w:bCs/>
          <w:sz w:val="40"/>
          <w:szCs w:val="40"/>
        </w:rPr>
        <w:t>行政审批信用承诺制事项清单</w:t>
      </w:r>
    </w:p>
    <w:p>
      <w:pPr>
        <w:pStyle w:val="2"/>
        <w:rPr>
          <w:rFonts w:hint="eastAsia"/>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1"/>
        <w:gridCol w:w="660"/>
        <w:gridCol w:w="807"/>
        <w:gridCol w:w="783"/>
        <w:gridCol w:w="435"/>
        <w:gridCol w:w="360"/>
        <w:gridCol w:w="1067"/>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序号</w:t>
            </w:r>
          </w:p>
        </w:tc>
        <w:tc>
          <w:tcPr>
            <w:tcW w:w="6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行政机关名称</w:t>
            </w:r>
          </w:p>
        </w:tc>
        <w:tc>
          <w:tcPr>
            <w:tcW w:w="8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事项</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名称</w:t>
            </w:r>
          </w:p>
        </w:tc>
        <w:tc>
          <w:tcPr>
            <w:tcW w:w="78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事项</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bookmarkStart w:id="0" w:name="_GoBack"/>
            <w:bookmarkEnd w:id="0"/>
            <w:r>
              <w:rPr>
                <w:rFonts w:hint="eastAsia" w:ascii="仿宋_GB2312" w:hAnsi="仿宋_GB2312" w:eastAsia="仿宋_GB2312" w:cs="仿宋_GB2312"/>
                <w:b/>
                <w:bCs/>
                <w:color w:val="auto"/>
                <w:sz w:val="18"/>
                <w:szCs w:val="18"/>
                <w:shd w:val="clear" w:color="auto" w:fill="auto"/>
              </w:rPr>
              <w:t>编码</w:t>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事项类别</w:t>
            </w:r>
          </w:p>
        </w:tc>
        <w:tc>
          <w:tcPr>
            <w:tcW w:w="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承诺类型</w:t>
            </w:r>
          </w:p>
        </w:tc>
        <w:tc>
          <w:tcPr>
            <w:tcW w:w="106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适用对象</w:t>
            </w:r>
          </w:p>
        </w:tc>
        <w:tc>
          <w:tcPr>
            <w:tcW w:w="921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color w:val="auto"/>
                <w:sz w:val="18"/>
                <w:szCs w:val="18"/>
                <w:shd w:val="clear" w:color="auto" w:fill="auto"/>
              </w:rPr>
            </w:pPr>
            <w:r>
              <w:rPr>
                <w:rFonts w:hint="eastAsia" w:ascii="仿宋_GB2312" w:hAnsi="仿宋_GB2312" w:eastAsia="仿宋_GB2312" w:cs="仿宋_GB2312"/>
                <w:b/>
                <w:bCs/>
                <w:color w:val="auto"/>
                <w:sz w:val="18"/>
                <w:szCs w:val="18"/>
                <w:shd w:val="clear" w:color="auto" w:fill="auto"/>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民办义务教育阶段学校、幼儿园、文化教育培训学校举办者变更</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2"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民办义务教育阶段学校、幼儿园、文化教育培训学校设立审批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3</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教师资格认定</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11230505MB1656618G4000105013000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 《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4</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民办义务教育阶段学校、幼儿园、文化教育培训学校分立、合并审批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5</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幼儿园、小学和初级中学教师资格认定</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11230505MB1656618G4000105013000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 《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6</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民办义务教育阶段学校、幼儿园、文化教育培训学校名称、类别、层次变更审批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7</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校车使用许可</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11230505MB1656618G4000105014000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企业法人,事业法人,其他组织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校车安全管理条例》（2012年4月5日国务院令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8</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民办义务教育阶段学校、幼儿园、文化教育培训学校地址变更审批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9</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经营高危险性体育项目许可</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11230505MB1656618G4000133002000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全民健身条例》（2009年8月30日国务院令第560号，2016年2月6日予以修改）第三十二条：企业、个体工商户经营高危险性体育项目的，应当符合下列条件，并向县级以上人民政府体育主管部门提出申请……县级以上人民政府体育主管部门应当自收到申请之日起30日内进行实地核查，做出批准或者不予批准的决定。批准的，应当发给许可证；不予批准的，应当书面通知申请人并说明理由。 《国务院关于取消和下放一批行政审批项目等事项的决定》（国发〔2013〕19号）第91项：经营高危险性体育项目许可，下放至省级以下体育行政主管部门。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10</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民办义务教育阶段学校、幼儿园、文化教育培训学校变更审批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8"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临时占用公共体育场（馆）设施审批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11230505MB1656618G4000133006000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《中华人民共和国体育法》（1995年8月29日主席令第55号，2009年8月27日予以修改）第四十六条：因特殊情况需要临时占用体育设施的，必须经体育行政部门和建设规划部门批准。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8"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民办义务教育阶段学校、幼儿园、文化教育培训学校终止办学审批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8"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13</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对教师申诉的处理</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11230505MB1656618G4001005002000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其他行政权力</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14</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实施中等及中等以下学历教育、学前教育、自学考试助学及其他文化教育的学校设立、变更和终止审批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11230505MB1656618G4000105003000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自然人,企业法人,社会组织法人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8"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15</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体育类民办非企业单位申请登记审查</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11230505MB1656618G4001033001000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其他行政权力</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自然人,企业法人,事业法人,社会组织法人,非法人企业,其他组织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【行政法规】《民办非企业单位登记管理暂行条例》（国务院令第251号） 第五条第二款国务院有关部门和县级以上地方各级人民政府的有关部门、国务院或者县级以上地方各级人民政府授权的组织，是有关行业、业务范围内民办非企业单位的业务主管单位（以下简称业务主管单位）。 第八条申请登记民办非企业单位，应当具备下列条件： （一）经业务主管单位审查同意； 【规章】《体育类民办非企业单位登记审查与管理暂行办法》（国家体育总局、民政部令第5号） 第三条体育行政部门是体育类民办非企业单位的业务主管单位。国务院体育行政部门负责指导全国体育类民办非企业单位的登记审查工作，并负责在民政部登记的体育类民办非企业单位的登记审查工作。县级以上地方各级人民政府体育行政部门负责本辖区内体育类民办非企业单位的设立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16</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学生资助</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11230505MB1656618G4000505001000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行政给付</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事业法人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《中华人民共和国教育法》（2015年修正）第三十八条 国家、社会对符合入学条件、家庭经济困难的儿童、少年、青年，提供各种形式的资助。第四十三条 受教育者享有下列权利：（二）按照国家有关规定获得奖学金、贷学金、助学金； 《社会救助暂行办法》（国务院令第649号）第三十三条 国家对在高中教育（含中等职业教育）、普通高等教育阶段就学的最低生活保障家庭成员、特困供养人员，以及不能入学接受义务教育的残疾儿童，根据实际情况给予适当教育救助； 《国务院关于建立健全普通本科高校高等职业学校和中等职业学校家庭经济困难学生资助政策体系的意见》《国务院办公厅转发教育部 财政部 人民银行 银监会关于进一步完善国家助学贷款工作若干意见的通知》《国务院办公厅关于转发教育部等部门教育部直属师范大学师范生公费教育实施办法的通知》《教育部 财政部 中国人民银行 银监会关于完善国家助学贷款政策的若干意见》《财政部 国家发展改革委 教育部关于完善研究生教育投入机制的意见》《教育部等六部门关于做好家庭经济困难学生认定工作的指导意见》《国务院关于建立健全普通本科高校高等职业学校和中等职业学校家庭经济困难学生资助政策体系的意见》《财政部国家发展改革委教育部人力资源社会保障部关于扩大中等职业教育免学费政策范围进一步完善国家助学金制度的意见》《教育部等六部门关于做好家庭经济困难学生认定工作的指导意见》《国务院关于进一步完善城乡义务教育经费保障机制的通知》《中共中央 国务院关于学前教育深化改革规范发展的若干意见》《教育部 财政部关于印发&lt;国家奖学金评审办法&gt;的通知》《教育部 财政部关于印发&lt;普通高等学校研究生国家奖学金评审办法&gt;的通知》《关于印发&lt;港澳及华侨学生奖学金管理办法&gt;的通知》《关于印发&lt;台湾学生奖学金管理办法&gt;的通知》《教育部 财政部关于印发&lt;高等学校勤工助学管理办法（2018年修订）&gt;的通知》《关于印发&lt;普通高校家庭经济困难新生入学资助项目暂行管理办法&gt;的通知》《关于印发&lt;学生资助资金管理办法&gt;的通知》《关于免除普通高中建档立卡家庭经济困难学生学杂费的意见》《关于印发&lt;城乡义务教育补助经费管理办法&gt;的通知》《中央财政支持学前教育发展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6"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17</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设立健身气功站点的审批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11230505MB1656618G4230133015000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1.《健身气功管理办法》（2006年11月17日国家体育总局2006年令第9号） 第五条 举办健身气功活动或设立健身气功站点，应当获得体育行政部门的批准。 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 第十七条 设立健身气功站点，应当经当地街道办事处、乡镇级人民政府或企事业单位有关部门审核同意，报当地具有相应管辖权限的体育行政部门审批。 2.《国务院对确需保留的行政审批项目设定行政许可的决定》（2004年7月国务院令第412号）附件第336项。 3.《国务院关于第五批取消和下放管理层级行政审批项目的决定》（国发〔2010〕21号）附件2第62项。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6"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18</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双鸭山市四方台区教育和体育局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举办健身气功活动的审批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11230505MB1656618G4230133016000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健身气功管理办法（国家体育总局令2006年第9号 2006年11月17日） 第五条 举办健身气功活动或设立健身气功站点，应当获得体育行政部门的批准。 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 第十一条 举办健身气功业务培训、交流展示、功法讲座等活动，实行属地管理。 举办全国性、跨省（区、市）的健身气功活动，经国家体育总局批准。 省（区、市）内举办的健身气功活动，经具有相应管辖权限的体育行政部门批准；跨地区的健身气功活动，经所跨地区共同的上一级体育行政部门批准。 参加人数在二百人以上的健身气功活动，除报体育行政部门审核批准外，还应当按照《群众性文化体育活动治安管理办法》的规定经公安机关许可。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19</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双鸭山市四方台区宣传部</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电影放映单位设立审批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11230505MB0354589Q4230139051000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个人,企业</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《电影管理条例》(2002年国务院令第342号)第三十八条　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kern w:val="0"/>
                <w:sz w:val="18"/>
                <w:szCs w:val="18"/>
                <w:u w:val="none"/>
                <w:shd w:val="clear" w:color="auto" w:fill="auto"/>
                <w:lang w:val="en-US" w:eastAsia="zh-CN" w:bidi="ar"/>
              </w:rPr>
            </w:pPr>
            <w:r>
              <w:rPr>
                <w:rFonts w:hint="eastAsia" w:ascii="仿宋_GB2312" w:hAnsi="仿宋_GB2312" w:eastAsia="仿宋_GB2312" w:cs="仿宋_GB2312"/>
                <w:i w:val="0"/>
                <w:iCs w:val="0"/>
                <w:color w:val="auto"/>
                <w:kern w:val="0"/>
                <w:sz w:val="18"/>
                <w:szCs w:val="18"/>
                <w:u w:val="none"/>
                <w:shd w:val="clear" w:color="auto" w:fill="auto"/>
                <w:lang w:val="en-US" w:eastAsia="zh-CN" w:bidi="ar"/>
              </w:rPr>
              <w:t>20</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公共场所卫生许可</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122305056602134742400012302000004</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自然人,企业法人,事业法人,社会组织法人,非法人企业,其他组织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《公共场所卫生管理条例》（国发〔1987〕24号）第四条：国家对公共场所以及新建、改建、扩建的公共场所的选址和设计实行“卫生许可证”制度。“卫生许可证”由县以上卫生行政部门签发。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餐具、饮具集中消毒服务许可（新申请）</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122305056602134742423012305300003</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1.《黑龙江省食品安全条例》第四十五条 从事餐具、饮具集中消毒服务，应当取得县级以上人民政府卫生健康行政部门核发的餐具、饮具集中消毒服务许可证。许可的条件、程序和期限等，由省人民政府卫生健康行政部门规定。 2.《黑龙江省餐具 饮具集中消毒服务单位卫生管理办法》第三十二条 餐具、饮具集中消毒服务实行许可制度。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餐具、饮具集中消毒服务许可（生产工艺流程或车间布局改变）</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color w:val="3D4B64"/>
                <w:sz w:val="18"/>
                <w:szCs w:val="18"/>
              </w:rPr>
            </w:pPr>
            <w:r>
              <w:rPr>
                <w:rFonts w:hint="eastAsia" w:ascii="仿宋" w:hAnsi="仿宋" w:eastAsia="仿宋" w:cs="仿宋"/>
                <w:color w:val="3D4B64"/>
                <w:kern w:val="0"/>
                <w:sz w:val="18"/>
                <w:szCs w:val="18"/>
                <w:shd w:val="clear" w:fill="F7F7F7"/>
                <w:lang w:val="en-US" w:eastAsia="zh-CN" w:bidi="ar"/>
              </w:rPr>
              <w:t>122305056602134742423012305300001</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1.《黑龙江省食品安全条例》第四十五条 从事餐具、饮具集中消毒服务，应当取得县级以上人民政府卫生健康行政部门核发的餐具、饮具集中消毒服务许可证。许可的条件、程序和期限等，由省人民政府卫生健康行政部门规定。 2.《黑龙江省餐具 饮具集中消毒服务单位卫生管理办法》第三十二条 餐具、饮具集中消毒服务实行许可制度。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23</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公共场所卫生许可（补发）</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122305056602134742400012302000002</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24</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公共场所卫生许可（经营单位名称、法定代表人或者负责人，地址名称（非迁址，如变更门牌或路名）等变更）</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color w:val="3D4B64"/>
                <w:sz w:val="18"/>
                <w:szCs w:val="18"/>
              </w:rPr>
            </w:pPr>
            <w:r>
              <w:rPr>
                <w:rFonts w:hint="eastAsia" w:ascii="仿宋" w:hAnsi="仿宋" w:eastAsia="仿宋" w:cs="仿宋"/>
                <w:color w:val="3D4B64"/>
                <w:kern w:val="0"/>
                <w:sz w:val="18"/>
                <w:szCs w:val="18"/>
                <w:shd w:val="clear" w:fill="F7F7F7"/>
                <w:lang w:val="en-US" w:eastAsia="zh-CN" w:bidi="ar"/>
              </w:rPr>
              <w:t>122305056602134742400012302000006</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25</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公共场所卫生许可（新申请）</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122305056602134742400012302000004</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26</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公共场所卫生许可（延续）</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highlight w:val="yellow"/>
                <w:u w:val="none"/>
                <w:shd w:val="clear" w:color="auto" w:fill="auto"/>
                <w:lang w:val="en-US" w:eastAsia="zh-CN" w:bidi="ar"/>
              </w:rPr>
            </w:pPr>
            <w:r>
              <w:rPr>
                <w:rFonts w:hint="eastAsia" w:ascii="仿宋" w:hAnsi="仿宋" w:eastAsia="仿宋" w:cs="仿宋"/>
                <w:color w:val="000000" w:themeColor="text1"/>
                <w:kern w:val="0"/>
                <w:sz w:val="18"/>
                <w:szCs w:val="18"/>
                <w:highlight w:val="none"/>
                <w:shd w:val="clear"/>
                <w:lang w:val="en-US" w:eastAsia="zh-CN" w:bidi="ar"/>
                <w14:textFill>
                  <w14:solidFill>
                    <w14:schemeClr w14:val="tx1"/>
                  </w14:solidFill>
                </w14:textFill>
              </w:rPr>
              <w:t>122305056602134742400012302000003</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公共场所卫生许可（注销）</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122305056602134742400012302000005</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公共场所卫生许可（补发）</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122305056602134742400012302000002</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《公共场所卫生管理条例》第四条：国家对公共场所“卫生许可证”制度。“卫生许可证”由县以上卫生行政部门签发。 《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饮用水供水单位卫生许可（变更单位名称、法定代表人、负责人）</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color w:val="3D4B64"/>
                <w:sz w:val="18"/>
                <w:szCs w:val="18"/>
              </w:rPr>
            </w:pPr>
            <w:r>
              <w:rPr>
                <w:rFonts w:hint="eastAsia" w:ascii="仿宋" w:hAnsi="仿宋" w:eastAsia="仿宋" w:cs="仿宋"/>
                <w:color w:val="3D4B64"/>
                <w:kern w:val="0"/>
                <w:sz w:val="18"/>
                <w:szCs w:val="18"/>
                <w:shd w:val="clear" w:fill="F7F7F7"/>
                <w:lang w:val="en-US" w:eastAsia="zh-CN" w:bidi="ar"/>
              </w:rPr>
              <w:t>122305056602134742400012301800002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《中华人民共和国传染病防治法》（1989年2月21日主席令第十五号，2013年6月29日予以修改）第二十九条：……饮用水供水单位从事生产或者供应活动，应当依法取得卫生许可证。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饮用水供水单位卫生许可（补发）</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122305056602134742400012301800005</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《中华人民共和国传染病防治法》（1989年2月21日主席令第十五号，2013年6月29日予以修改）第二十九条：……饮用水供水单位从事生产或者供应活动，应当依法取得卫生许可证。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饮用水供水单位卫生许可（新申请）</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122305056602134742400012301800001</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《中华人民共和国传染病防治法》（1989年2月21日主席令第十五号，2013年6月29日予以修改）第二十九条：……饮用水供水单位从事生产或者供应活动，应当依法取得卫生许可证。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饮用水供水单位卫生许可（延续）</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122305056602134742400012301800003</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《中华人民共和国传染病防治法》（1989年2月21日主席令第十五号，2013年6月29日予以修改）第二十九条：……饮用水供水单位从事生产或者供应活动，应当依法取得卫生许可证。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饮用水供水单位卫生许可（注销）</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color w:val="3D4B64"/>
                <w:kern w:val="0"/>
                <w:sz w:val="18"/>
                <w:szCs w:val="18"/>
                <w:shd w:val="clear" w:fill="F7F7F7"/>
                <w:lang w:val="en-US" w:eastAsia="zh-CN" w:bidi="ar"/>
              </w:rPr>
              <w:t>122305056602134742400012301800002</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《中华人民共和国传染病防治法》（1989年2月21日主席令第十五号，2013年6月29日予以修改）第二十九条：……饮用水供水单位从事生产或者供应活动，应当依法取得卫生许可证。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放射诊疗建设项目职业病危害放射防护设施竣工验收</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sz w:val="18"/>
                <w:szCs w:val="18"/>
                <w:lang w:val="en-US" w:eastAsia="zh-CN"/>
              </w:rPr>
            </w:pPr>
            <w:r>
              <w:rPr>
                <w:rFonts w:hint="eastAsia" w:ascii="仿宋" w:hAnsi="仿宋" w:eastAsia="仿宋" w:cs="仿宋"/>
                <w:color w:val="3D4B64"/>
                <w:kern w:val="0"/>
                <w:sz w:val="18"/>
                <w:szCs w:val="18"/>
                <w:shd w:val="clear" w:fill="F7F7F7"/>
                <w:lang w:val="en-US" w:eastAsia="zh-CN" w:bidi="ar"/>
              </w:rPr>
              <w:t>122305056602134742400012302900001</w:t>
            </w: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 《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四方台区卫生计生综合监督执法局</w:t>
            </w:r>
          </w:p>
        </w:tc>
        <w:tc>
          <w:tcPr>
            <w:tcW w:w="80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医疗机构放射性职业病危害建设项目预评价报告审核</w:t>
            </w:r>
          </w:p>
        </w:tc>
        <w:tc>
          <w:tcPr>
            <w:tcW w:w="783" w:type="dxa"/>
            <w:shd w:val="clear" w:color="auto" w:fill="auto"/>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center"/>
              <w:rPr>
                <w:rFonts w:hint="eastAsia" w:ascii="仿宋" w:hAnsi="仿宋" w:eastAsia="仿宋" w:cs="仿宋"/>
                <w:color w:val="3D4B64"/>
                <w:sz w:val="18"/>
                <w:szCs w:val="18"/>
              </w:rPr>
            </w:pPr>
            <w:r>
              <w:rPr>
                <w:rFonts w:hint="eastAsia" w:ascii="仿宋" w:hAnsi="仿宋" w:eastAsia="仿宋" w:cs="仿宋"/>
                <w:color w:val="3D4B64"/>
                <w:kern w:val="0"/>
                <w:sz w:val="18"/>
                <w:szCs w:val="18"/>
                <w:shd w:val="clear" w:fill="F7F7F7"/>
                <w:lang w:val="en-US" w:eastAsia="zh-CN" w:bidi="ar"/>
              </w:rPr>
              <w:t>122305056602134742400012302300001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自然人,企业法人,事业法人,社会组织法人,非法人企业,行政机关,其他组织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职业病防治法》（2001年10月27日主席令第六十号，2018年12月29日予以修改）第十七条：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第八十九条：对医疗机构放射性职业病危害控制的监督管理，由卫生行政部门依照本法的规定实施。 《放射诊疗管理规定》（2006年1月24日卫生部令第46号，2016年1月19日予以修改）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4"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双鸭山市市场监督管理局四方台分局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食品生产加工小作坊核准首次申请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TE02340023212321324000131031000A1</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企业法人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食品安全法》（中华人民共和国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双鸭山市市场监督管理局四方台分局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新办食品小经营核准（餐饮类）</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TE0234002321232132423013103500901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容缺即受理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食品安全法》（2009年2月28日第十一届全国人民代表大会常务委员会第七次会议通过，2015年4月24日第十二届全国人民代表大会常务委员会第十四次会议修订，2018年12月29日第十三届全国人民代表大会常务委员会第七次会议修正）第三十五条：国家对食品生产经营实行许可制度。从事食品生产、食品销售、餐饮服务，应当依法取得许可。但是，销售食用农产品，不需要取得许可。 《黑龙江省食品安全实施条例》（2012年10月19日黑龙江省第十一届人民代表大会常务委员会第三十五次会议通过，2016年12月16日黑龙江省第十二届人民代表大会常务委员会第三十次会议第一次修订，2019年6月28日黑龙江省第十三届人民代表大会常务委员会第十二次会议第二次修订）第二十五条第三款：食品生产加工小作坊、食品小经营应当办理工商登记并取得食品生产加工小作坊核准证和食品小经营核准证。食品摊贩实行登记管理。食品生产加工小作坊、食品小经营取得核准证后，食品小摊贩取得食品摊贩登记卡后，方可从事食品生产经营活动。食品生产加工小作坊、食品小经营、食品摊贩的生产经营，分别适用本条例第六章第一节至第三节规定；没有规定的，适用本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护士变更注册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11230505MB03552904400012301400005</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护士延续注册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11230505MB035529044000123014000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《中华人民共和国人口与计划生育法》 第二十七条在国家提倡一对夫妻生育一个子女期间，自愿终身只生育一个子女的夫妻，国家发给《独生子女父母光荣证》。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护士执业注册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11230505MB035529044000123014000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《中华人民共和国人口与计划生育法》 第二十七条在国家提倡一对夫妻生育一个子女期间，自愿终身只生育一个子女的夫妻，国家发给《独生子女父母光荣证》。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护士注销注册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11230505MB03552904400012301400006</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执业注册管理办法》（国家卫生健康委令第13号，2017年2月28日）第三条，第二十四条）、《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护士重新注册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11230505MB035529044000123014000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《医疗机构管理条例》(国务院令第149号) 第四十一条国家实行医疗机构评审制度，由专家组成的评审委员会按照医疗机构评审办法和评审标准，对医疗机构的执业活动、医疗服务质量等进行综合评价。 医疗机构评审办法和评审标准由国务院卫生行政部门制定。 第四十三条县级以上地方人民政府卫生行政部门根据评审委员会的评审意见，对达到评审标准的医疗机构，发给评审合格证书；对未达到评审标准的医疗机构，提出处理意见。 【规范性文件】《医院评审暂行办法》（卫医管发〔2011〕75号） 第三十五条甲等、乙等医院，由省级卫生行政部门发给卫生部统一格式的等级证书及标识。 等级证书的有效期与评审周期相同。等级证书有效期满后，医院不得继续使用该等级证书。医院的等级标识必须与等级证书相符。 【规范性文件】《妇幼保健机构管理办法》（卫妇社发〔2006〕489号） 第二十五条各级卫生行政部门负责对同级妇幼保健机构实施监督与管理，建立健全妇幼保健机构评估和监督考核制度，定期进行监督评估和信息公示。 【规范性文件】《中医医院评审暂行办法》（医政函〔2012〕96号） 第十条三级和二级中医医院的评审由省级中医药管理部门组建或指定的评审组织负责具体实施。一级中医医院的评审由地市级中医药管理部门组建或指定的评审组织负责具体实施。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计划生育家庭特别扶助金</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11230505MB035529044000523005000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行政给付</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告知承诺制</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《乡村医生从业管理条例》（2003年8月5日国务院令第386号）第九条：国家实行乡村医生执业注册制度。县级人民政府卫生行政主管部门负责乡村医生执业注册工作。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农村部分计划生育家庭奖励扶助金</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11230505MB035529044000523004000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行政给付</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告知承诺制</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 xml:space="preserve">《医师执业注册管理办法》（国家卫生健康委令第13号，2017年2月28日）第三条，第二十四条）、《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权限内医师多机构备案</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《黑龙江省再生育审批服务管理办法》黑卫指导发〔 2016 〕95号 第十二条 已生育两个子女的夫妻，符合下列条件之一的，可以再生育一胎子女: (一)夫妻双方均为归国华侨或者香港、澳门、台湾地区居民在本省行政区域内定居的; (二)夫妻双方均为边境地区居民的; (三)经市(地)政府(行署)卫生和计划生育行政部门组织鉴定，两个子女中有残疾儿，且医学上认为能够生育健康儿的; (四)特殊情况经省卫生和计划生育行政部门批准的，并报省人民政府备案。 第十三条 少数民族也应当实行计划生育。 夫妻双方或者一方为鄂伦春、鄂温克、赫哲、达斡尔、柯尔克孜、锡伯、俄罗斯族的，依法生育两个子女后，可以再生育一胎子女。 第十四条 再婚(不含复婚)夫妻，符合下列条件之一的，可以再生育一胎子女: (一)再婚前合计只生育一个子女，婚后生育一个子女的; (二)再婚前合计生育两个以上子女，婚后没有生育子女的。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医疗机构评审</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11230505MB035529044000723001000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行政确认</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告知承诺制</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行政机关,其他组织</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乡村医生执业注册</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11230505MB035529044000123026000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《中华人民共和国人口与计划生育法》 第二十七条在国家提倡一对夫妻生育一个子女期间，自愿终身只生育一个子女的夫妻，国家发给《独生子女父母光荣证》。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医师执业注册（含外国医师来华短期行医许可、台湾地区医师在大陆短期行医许可、香港澳门特别行政区医师在内地短期行医许可）</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11230505MB03552904400012301200001</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《中华人民共和国人口与计划生育法》 第二十七条在国家提倡一对夫妻生育一个子女期间，自愿终身只生育一个子女的夫妻，国家发给《独生子女父母光荣证》。获得《独生子女父母光荣证》的夫妻，按照国家和省、自治区、直辖市有关规定享受独生子女父母奖励。 法律、法规或者规章规定给予获得《独生子女父母光荣证》的夫妻奖励的措施中由其所在单位落实的，有关单位应当执行。 获得《独生子女父母光荣证》的夫妻，独生子女发生意外伤残、死亡的，按照规定获得扶助。 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医师变更执业范围</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执业注册管理办法》（国家卫生健康委令第13号，2017年2月28日）第三条，第二十四条）、《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医师变更执业地点（含多机构备案）</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《医疗机构管理条例》(国务院令第149号) 第四十一条国家实行医疗机构评审制度，由专家组成的评审委员会按照医疗机构评审办法和评审标准，对医疗机构的执业活动、医疗服务质量等进行综合评价。 医疗机构评审办法和评审标准由国务院卫生行政部门制定。 第四十三条县级以上地方人民政府卫生行政部门根据评审委员会的评审意见，对达到评审标准的医疗机构，发给评审合格证书；对未达到评审标准的医疗机构，提出处理意见。 【规范性文件】《医院评审暂行办法》（卫医管发〔2011〕75号） 第三十五条甲等、乙等医院，由省级卫生行政部门发给卫生部统一格式的等级证书及标识。 等级证书的有效期与评审周期相同。等级证书有效期满后，医院不得继续使用该等级证书。医院的等级标识必须与等级证书相符。 【规范性文件】《妇幼保健机构管理办法》（卫妇社发〔2006〕489号） 第二十五条各级卫生行政部门负责对同级妇幼保健机构实施监督与管理，建立健全妇幼保健机构评估和监督考核制度，定期进行监督评估和信息公示。 【规范性文件】《中医医院评审暂行办法》（医政函〔2012〕96号） 第十条三级和二级中医医院的评审由省级中医药管理部门组建或指定的评审组织负责具体实施。一级中医医院的评审由地市级中医药管理部门组建或指定的评审组织负责具体实施。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医师执业注册（含重新注册、美容主诊医师备案）</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11230505MB035529044000123012000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自然人,企业法人,事业法人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《乡村医生从业管理条例》（2003年8月5日国务院令第386号）第九条：国家实行乡村医生执业注册制度。县级人民政府卫生行政主管部门负责乡村医生执业注册工作。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501"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6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四方台区卫生健康局</w:t>
            </w:r>
          </w:p>
        </w:tc>
        <w:tc>
          <w:tcPr>
            <w:tcW w:w="80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再生育审批</w:t>
            </w:r>
          </w:p>
        </w:tc>
        <w:tc>
          <w:tcPr>
            <w:tcW w:w="78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11230505MB035529044230123056000</w:t>
            </w:r>
          </w:p>
        </w:tc>
        <w:tc>
          <w:tcPr>
            <w:tcW w:w="43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行政许可</w:t>
            </w:r>
          </w:p>
        </w:tc>
        <w:tc>
          <w:tcPr>
            <w:tcW w:w="3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容缺式受理</w:t>
            </w:r>
          </w:p>
        </w:tc>
        <w:tc>
          <w:tcPr>
            <w:tcW w:w="106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自然人</w:t>
            </w:r>
          </w:p>
        </w:tc>
        <w:tc>
          <w:tcPr>
            <w:tcW w:w="921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 w:hAnsi="仿宋" w:eastAsia="仿宋" w:cs="仿宋"/>
                <w:i w:val="0"/>
                <w:iCs w:val="0"/>
                <w:color w:val="auto"/>
                <w:kern w:val="0"/>
                <w:sz w:val="18"/>
                <w:szCs w:val="18"/>
                <w:u w:val="none"/>
                <w:shd w:val="clear" w:color="auto" w:fill="auto"/>
                <w:lang w:val="en-US" w:eastAsia="zh-CN" w:bidi="ar"/>
              </w:rPr>
            </w:pPr>
            <w:r>
              <w:rPr>
                <w:rFonts w:hint="eastAsia" w:ascii="仿宋" w:hAnsi="仿宋" w:eastAsia="仿宋" w:cs="仿宋"/>
                <w:i w:val="0"/>
                <w:iCs w:val="0"/>
                <w:color w:val="auto"/>
                <w:kern w:val="0"/>
                <w:sz w:val="18"/>
                <w:szCs w:val="18"/>
                <w:u w:val="none"/>
                <w:shd w:val="clear" w:color="auto" w:fill="auto"/>
                <w:lang w:val="en-US" w:eastAsia="zh-CN" w:bidi="ar"/>
              </w:rPr>
              <w:t xml:space="preserve">《医师执业注册管理办法》（国家卫生健康委令第13号，2017年2月28日）第三条，第二十四条）、《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 </w:t>
            </w:r>
          </w:p>
        </w:tc>
      </w:tr>
    </w:tbl>
    <w:p>
      <w:pPr>
        <w:pStyle w:val="2"/>
        <w:rPr>
          <w:rFonts w:hint="eastAsia"/>
        </w:rPr>
      </w:pPr>
    </w:p>
    <w:p>
      <w:pPr>
        <w:rPr>
          <w:rFonts w:hint="eastAsia"/>
        </w:rPr>
      </w:pPr>
    </w:p>
    <w:p>
      <w:pPr>
        <w:pStyle w:val="2"/>
        <w:rPr>
          <w:rFonts w:hint="eastAsia"/>
        </w:rPr>
      </w:pPr>
    </w:p>
    <w:p/>
    <w:sectPr>
      <w:footerReference r:id="rId3" w:type="default"/>
      <w:pgSz w:w="16838" w:h="11906" w:orient="landscape"/>
      <w:pgMar w:top="1474" w:right="1474" w:bottom="147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Style w:val="7"/>
        <w:rFonts w:hint="eastAsia" w:ascii="仿宋_GB2312" w:hAnsi="仿宋_GB2312" w:eastAsia="仿宋_GB2312" w:cs="仿宋_GB2312"/>
        <w:sz w:val="32"/>
        <w:szCs w:val="32"/>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66A90"/>
    <w:rsid w:val="0432428D"/>
    <w:rsid w:val="061A769B"/>
    <w:rsid w:val="08072F17"/>
    <w:rsid w:val="09D26A51"/>
    <w:rsid w:val="0BBC29A2"/>
    <w:rsid w:val="0C476CD9"/>
    <w:rsid w:val="0CF95261"/>
    <w:rsid w:val="0F9C5C1D"/>
    <w:rsid w:val="116F7F9F"/>
    <w:rsid w:val="11AE0F56"/>
    <w:rsid w:val="13172C88"/>
    <w:rsid w:val="13B94C3C"/>
    <w:rsid w:val="149B742B"/>
    <w:rsid w:val="14C45266"/>
    <w:rsid w:val="164D2E07"/>
    <w:rsid w:val="17635537"/>
    <w:rsid w:val="19953967"/>
    <w:rsid w:val="1ACA31D3"/>
    <w:rsid w:val="1B0B537D"/>
    <w:rsid w:val="1C827783"/>
    <w:rsid w:val="1CB20F0C"/>
    <w:rsid w:val="1EDA3BB7"/>
    <w:rsid w:val="1F1B1D33"/>
    <w:rsid w:val="20A23118"/>
    <w:rsid w:val="210135EB"/>
    <w:rsid w:val="212761FD"/>
    <w:rsid w:val="2282317C"/>
    <w:rsid w:val="245377F4"/>
    <w:rsid w:val="24AB6FF2"/>
    <w:rsid w:val="25164BFC"/>
    <w:rsid w:val="26F31518"/>
    <w:rsid w:val="28732F03"/>
    <w:rsid w:val="29151C69"/>
    <w:rsid w:val="2A8845A3"/>
    <w:rsid w:val="2B791CE9"/>
    <w:rsid w:val="2C36636C"/>
    <w:rsid w:val="2D3C063F"/>
    <w:rsid w:val="2DBB28C0"/>
    <w:rsid w:val="2E362909"/>
    <w:rsid w:val="317056D9"/>
    <w:rsid w:val="33622F34"/>
    <w:rsid w:val="33736B98"/>
    <w:rsid w:val="35DD76B4"/>
    <w:rsid w:val="36546526"/>
    <w:rsid w:val="36C11D62"/>
    <w:rsid w:val="36DE7B21"/>
    <w:rsid w:val="378479C4"/>
    <w:rsid w:val="38253142"/>
    <w:rsid w:val="3B4F4BDF"/>
    <w:rsid w:val="3C237169"/>
    <w:rsid w:val="3EA57D2E"/>
    <w:rsid w:val="402A2213"/>
    <w:rsid w:val="40800440"/>
    <w:rsid w:val="41794B11"/>
    <w:rsid w:val="41933E63"/>
    <w:rsid w:val="42CB0093"/>
    <w:rsid w:val="42F13603"/>
    <w:rsid w:val="46C33DD1"/>
    <w:rsid w:val="48DD5CEB"/>
    <w:rsid w:val="4B3234D6"/>
    <w:rsid w:val="4C9F7EA1"/>
    <w:rsid w:val="4F1F09CE"/>
    <w:rsid w:val="4FB92885"/>
    <w:rsid w:val="506C176A"/>
    <w:rsid w:val="52FB47CD"/>
    <w:rsid w:val="55AF54F7"/>
    <w:rsid w:val="58FE2B74"/>
    <w:rsid w:val="5C046222"/>
    <w:rsid w:val="5CC15A10"/>
    <w:rsid w:val="60FF6F6E"/>
    <w:rsid w:val="61BC29A7"/>
    <w:rsid w:val="628E030B"/>
    <w:rsid w:val="64FA42B4"/>
    <w:rsid w:val="68426AED"/>
    <w:rsid w:val="6B173756"/>
    <w:rsid w:val="6CBB2497"/>
    <w:rsid w:val="6D1F28A6"/>
    <w:rsid w:val="6DBC60C7"/>
    <w:rsid w:val="6DFA481E"/>
    <w:rsid w:val="6E677C2A"/>
    <w:rsid w:val="6FB63017"/>
    <w:rsid w:val="6FD1276E"/>
    <w:rsid w:val="725470AB"/>
    <w:rsid w:val="7278334B"/>
    <w:rsid w:val="72824EF5"/>
    <w:rsid w:val="72B24F04"/>
    <w:rsid w:val="76DF3C6F"/>
    <w:rsid w:val="7932346F"/>
    <w:rsid w:val="79F05E5C"/>
    <w:rsid w:val="7B055AA2"/>
    <w:rsid w:val="7C5B24FE"/>
    <w:rsid w:val="7C6F3D9A"/>
    <w:rsid w:val="7F06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bCs/>
    </w:rPr>
  </w:style>
  <w:style w:type="character" w:styleId="7">
    <w:name w:val="page number"/>
    <w:basedOn w:val="5"/>
    <w:qFormat/>
    <w:uiPriority w:val="99"/>
  </w:style>
  <w:style w:type="character" w:styleId="8">
    <w:name w:val="FollowedHyperlink"/>
    <w:basedOn w:val="5"/>
    <w:qFormat/>
    <w:uiPriority w:val="0"/>
    <w:rPr>
      <w:color w:val="800080"/>
      <w:u w:val="none"/>
    </w:rPr>
  </w:style>
  <w:style w:type="character" w:styleId="9">
    <w:name w:val="Emphasis"/>
    <w:basedOn w:val="5"/>
    <w:qFormat/>
    <w:uiPriority w:val="0"/>
    <w:rPr>
      <w:b/>
      <w:bCs/>
    </w:rPr>
  </w:style>
  <w:style w:type="character" w:styleId="10">
    <w:name w:val="HTML Definition"/>
    <w:basedOn w:val="5"/>
    <w:qFormat/>
    <w:uiPriority w:val="0"/>
  </w:style>
  <w:style w:type="character" w:styleId="11">
    <w:name w:val="HTML Typewriter"/>
    <w:basedOn w:val="5"/>
    <w:qFormat/>
    <w:uiPriority w:val="0"/>
    <w:rPr>
      <w:rFonts w:hint="default" w:ascii="monospace" w:hAnsi="monospace" w:eastAsia="monospace" w:cs="monospace"/>
      <w:sz w:val="20"/>
    </w:rPr>
  </w:style>
  <w:style w:type="character" w:styleId="12">
    <w:name w:val="HTML Acronym"/>
    <w:basedOn w:val="5"/>
    <w:qFormat/>
    <w:uiPriority w:val="0"/>
  </w:style>
  <w:style w:type="character" w:styleId="13">
    <w:name w:val="HTML Variable"/>
    <w:basedOn w:val="5"/>
    <w:qFormat/>
    <w:uiPriority w:val="0"/>
  </w:style>
  <w:style w:type="character" w:styleId="14">
    <w:name w:val="Hyperlink"/>
    <w:basedOn w:val="5"/>
    <w:qFormat/>
    <w:uiPriority w:val="0"/>
    <w:rPr>
      <w:color w:val="0000FF"/>
      <w:u w:val="none"/>
    </w:rPr>
  </w:style>
  <w:style w:type="character" w:styleId="15">
    <w:name w:val="HTML Code"/>
    <w:basedOn w:val="5"/>
    <w:qFormat/>
    <w:uiPriority w:val="0"/>
    <w:rPr>
      <w:rFonts w:hint="default" w:ascii="monospace" w:hAnsi="monospace" w:eastAsia="monospace" w:cs="monospace"/>
      <w:sz w:val="20"/>
    </w:rPr>
  </w:style>
  <w:style w:type="character" w:styleId="16">
    <w:name w:val="HTML Cite"/>
    <w:basedOn w:val="5"/>
    <w:qFormat/>
    <w:uiPriority w:val="0"/>
  </w:style>
  <w:style w:type="character" w:styleId="17">
    <w:name w:val="HTML Keyboard"/>
    <w:basedOn w:val="5"/>
    <w:qFormat/>
    <w:uiPriority w:val="0"/>
    <w:rPr>
      <w:rFonts w:hint="default" w:ascii="monospace" w:hAnsi="monospace" w:eastAsia="monospace" w:cs="monospace"/>
      <w:sz w:val="20"/>
    </w:rPr>
  </w:style>
  <w:style w:type="character" w:styleId="18">
    <w:name w:val="HTML Sample"/>
    <w:basedOn w:val="5"/>
    <w:qFormat/>
    <w:uiPriority w:val="0"/>
    <w:rPr>
      <w:rFonts w:ascii="monospace" w:hAnsi="monospace" w:eastAsia="monospace" w:cs="monospace"/>
      <w:bdr w:val="single" w:color="D2D2D2" w:sz="6" w:space="0"/>
      <w:shd w:val="clear" w:fill="FFFFFF"/>
    </w:rPr>
  </w:style>
  <w:style w:type="character" w:customStyle="1" w:styleId="19">
    <w:name w:val="hover"/>
    <w:basedOn w:val="5"/>
    <w:qFormat/>
    <w:uiPriority w:val="0"/>
    <w:rPr>
      <w:color w:val="2590EB"/>
    </w:rPr>
  </w:style>
  <w:style w:type="character" w:customStyle="1" w:styleId="20">
    <w:name w:val="hover1"/>
    <w:basedOn w:val="5"/>
    <w:qFormat/>
    <w:uiPriority w:val="0"/>
  </w:style>
  <w:style w:type="character" w:customStyle="1" w:styleId="21">
    <w:name w:val="hover2"/>
    <w:basedOn w:val="5"/>
    <w:qFormat/>
    <w:uiPriority w:val="0"/>
    <w:rPr>
      <w:color w:val="2590EB"/>
    </w:rPr>
  </w:style>
  <w:style w:type="character" w:customStyle="1" w:styleId="22">
    <w:name w:val="mini-outputtext1"/>
    <w:basedOn w:val="5"/>
    <w:qFormat/>
    <w:uiPriority w:val="0"/>
  </w:style>
  <w:style w:type="character" w:customStyle="1" w:styleId="23">
    <w:name w:val="hover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2021-03-18T01:12:00Z</dcterms:created>
  <dc:creator>Administrator</dc:creator>
  <cp:lastModifiedBy>Administrator</cp:lastModifiedBy>
  <cp:lastPrinted>2021-04-07T07:29:00Z</cp:lastPrinted>
  <dcterms:modified xsi:type="dcterms:W3CDTF">2021-10-18T06:34:03Z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E66F16A5ED7644D89E269FCC4810D214</vt:lpwstr>
  </property>
</Properties>
</file>