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DB26">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rPr>
          <w:rFonts w:hint="eastAsia" w:ascii="方正小标宋简体" w:hAnsi="Times New Roman" w:eastAsia="方正小标宋简体" w:cs="Times New Roman"/>
          <w:color w:val="auto"/>
          <w:spacing w:val="11"/>
          <w:sz w:val="44"/>
          <w:szCs w:val="44"/>
          <w:highlight w:val="none"/>
          <w:lang w:val="en-US" w:eastAsia="zh-CN"/>
        </w:rPr>
      </w:pPr>
      <w:r>
        <w:rPr>
          <w:rFonts w:hint="eastAsia" w:ascii="方正小标宋简体" w:hAnsi="Times New Roman" w:eastAsia="方正小标宋简体" w:cs="Times New Roman"/>
          <w:color w:val="auto"/>
          <w:spacing w:val="11"/>
          <w:sz w:val="44"/>
          <w:szCs w:val="44"/>
          <w:highlight w:val="none"/>
          <w:lang w:val="en-US" w:eastAsia="zh-CN"/>
        </w:rPr>
        <w:t>政 府 工 作 报 告</w:t>
      </w:r>
    </w:p>
    <w:p w14:paraId="53431EC1">
      <w:pPr>
        <w:pStyle w:val="2"/>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lang w:val="en-US" w:eastAsia="zh-CN" w:bidi="ar-SA"/>
        </w:rPr>
      </w:pPr>
      <w:r>
        <w:rPr>
          <w:rFonts w:hint="eastAsia" w:ascii="楷体_GB2312" w:hAnsi="楷体" w:eastAsia="楷体_GB2312" w:cs="方正小标宋简体"/>
          <w:b/>
          <w:bCs/>
          <w:color w:val="auto"/>
          <w:spacing w:val="11"/>
          <w:sz w:val="32"/>
          <w:szCs w:val="32"/>
          <w:highlight w:val="none"/>
        </w:rPr>
        <w:t>——</w:t>
      </w:r>
      <w:r>
        <w:rPr>
          <w:rFonts w:hint="eastAsia" w:ascii="楷体_GB2312" w:hAnsi="Times New Roman" w:eastAsia="楷体_GB2312" w:cs="Times New Roman"/>
          <w:color w:val="auto"/>
          <w:spacing w:val="11"/>
          <w:kern w:val="2"/>
          <w:sz w:val="32"/>
          <w:szCs w:val="32"/>
          <w:highlight w:val="none"/>
          <w:lang w:val="en-US" w:eastAsia="zh-CN" w:bidi="ar-SA"/>
        </w:rPr>
        <w:t>2024年</w:t>
      </w:r>
      <w:r>
        <w:rPr>
          <w:rFonts w:hint="eastAsia" w:ascii="楷体_GB2312" w:eastAsia="楷体_GB2312" w:cs="Times New Roman"/>
          <w:color w:val="auto"/>
          <w:spacing w:val="11"/>
          <w:kern w:val="2"/>
          <w:sz w:val="32"/>
          <w:szCs w:val="32"/>
          <w:highlight w:val="none"/>
          <w:lang w:val="en-US" w:eastAsia="zh-CN" w:bidi="ar-SA"/>
        </w:rPr>
        <w:t>1</w:t>
      </w:r>
      <w:r>
        <w:rPr>
          <w:rFonts w:hint="eastAsia" w:ascii="楷体_GB2312" w:hAnsi="Times New Roman" w:eastAsia="楷体_GB2312" w:cs="Times New Roman"/>
          <w:color w:val="auto"/>
          <w:spacing w:val="11"/>
          <w:kern w:val="2"/>
          <w:sz w:val="32"/>
          <w:szCs w:val="32"/>
          <w:highlight w:val="none"/>
          <w:lang w:val="en-US" w:eastAsia="zh-CN" w:bidi="ar-SA"/>
        </w:rPr>
        <w:t>月</w:t>
      </w:r>
      <w:r>
        <w:rPr>
          <w:rFonts w:hint="eastAsia" w:ascii="楷体_GB2312" w:eastAsia="楷体_GB2312" w:cs="Times New Roman"/>
          <w:color w:val="auto"/>
          <w:spacing w:val="11"/>
          <w:kern w:val="2"/>
          <w:sz w:val="32"/>
          <w:szCs w:val="32"/>
          <w:highlight w:val="none"/>
          <w:lang w:val="en-US" w:eastAsia="zh-CN" w:bidi="ar-SA"/>
        </w:rPr>
        <w:t>14</w:t>
      </w:r>
      <w:r>
        <w:rPr>
          <w:rFonts w:hint="eastAsia" w:ascii="楷体_GB2312" w:hAnsi="Times New Roman" w:eastAsia="楷体_GB2312" w:cs="Times New Roman"/>
          <w:color w:val="auto"/>
          <w:spacing w:val="11"/>
          <w:kern w:val="2"/>
          <w:sz w:val="32"/>
          <w:szCs w:val="32"/>
          <w:highlight w:val="none"/>
          <w:lang w:val="en-US" w:eastAsia="zh-CN" w:bidi="ar-SA"/>
        </w:rPr>
        <w:t>日在四方台区第十</w:t>
      </w:r>
      <w:r>
        <w:rPr>
          <w:rFonts w:hint="eastAsia" w:ascii="楷体_GB2312" w:eastAsia="楷体_GB2312" w:cs="Times New Roman"/>
          <w:color w:val="auto"/>
          <w:spacing w:val="11"/>
          <w:kern w:val="2"/>
          <w:sz w:val="32"/>
          <w:szCs w:val="32"/>
          <w:highlight w:val="none"/>
          <w:lang w:val="en-US" w:eastAsia="zh-CN" w:bidi="ar-SA"/>
        </w:rPr>
        <w:t>一</w:t>
      </w:r>
      <w:r>
        <w:rPr>
          <w:rFonts w:hint="eastAsia" w:ascii="楷体_GB2312" w:hAnsi="Times New Roman" w:eastAsia="楷体_GB2312" w:cs="Times New Roman"/>
          <w:color w:val="auto"/>
          <w:spacing w:val="11"/>
          <w:kern w:val="2"/>
          <w:sz w:val="32"/>
          <w:szCs w:val="32"/>
          <w:highlight w:val="none"/>
          <w:lang w:val="en-US" w:eastAsia="zh-CN" w:bidi="ar-SA"/>
        </w:rPr>
        <w:t>届人民代表大会</w:t>
      </w:r>
    </w:p>
    <w:p w14:paraId="03EA5D6E">
      <w:pPr>
        <w:pStyle w:val="2"/>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lang w:val="en-US" w:eastAsia="zh-CN" w:bidi="ar-SA"/>
        </w:rPr>
      </w:pPr>
      <w:r>
        <w:rPr>
          <w:rFonts w:hint="eastAsia" w:ascii="楷体_GB2312" w:eastAsia="楷体_GB2312" w:cs="Times New Roman"/>
          <w:color w:val="auto"/>
          <w:spacing w:val="11"/>
          <w:kern w:val="2"/>
          <w:sz w:val="32"/>
          <w:szCs w:val="32"/>
          <w:highlight w:val="none"/>
          <w:lang w:val="en-US" w:eastAsia="zh-CN" w:bidi="ar-SA"/>
        </w:rPr>
        <w:t>第三次</w:t>
      </w:r>
      <w:r>
        <w:rPr>
          <w:rFonts w:hint="eastAsia" w:ascii="楷体_GB2312" w:hAnsi="Times New Roman" w:eastAsia="楷体_GB2312" w:cs="Times New Roman"/>
          <w:color w:val="auto"/>
          <w:spacing w:val="11"/>
          <w:kern w:val="2"/>
          <w:sz w:val="32"/>
          <w:szCs w:val="32"/>
          <w:highlight w:val="none"/>
          <w:lang w:val="en-US" w:eastAsia="zh-CN" w:bidi="ar-SA"/>
        </w:rPr>
        <w:t>会议上</w:t>
      </w:r>
    </w:p>
    <w:p w14:paraId="42E579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0"/>
        <w:jc w:val="center"/>
        <w:textAlignment w:val="auto"/>
        <w:rPr>
          <w:rFonts w:hint="default" w:ascii="仿宋_GB2312" w:hAnsi="Times New Roman" w:eastAsia="仿宋_GB2312" w:cs="仿宋_GB2312"/>
          <w:i w:val="0"/>
          <w:iCs w:val="0"/>
          <w:caps w:val="0"/>
          <w:color w:val="auto"/>
          <w:spacing w:val="11"/>
          <w:kern w:val="0"/>
          <w:sz w:val="32"/>
          <w:szCs w:val="32"/>
          <w:highlight w:val="none"/>
          <w:lang w:val="en-US" w:eastAsia="zh-CN" w:bidi="ar"/>
        </w:rPr>
      </w:pPr>
      <w:r>
        <w:rPr>
          <w:rFonts w:hint="eastAsia" w:ascii="楷体_GB2312" w:eastAsia="楷体_GB2312" w:cs="Times New Roman"/>
          <w:color w:val="auto"/>
          <w:spacing w:val="11"/>
          <w:kern w:val="2"/>
          <w:sz w:val="32"/>
          <w:szCs w:val="32"/>
          <w:highlight w:val="none"/>
          <w:lang w:val="en-US" w:eastAsia="zh-CN" w:bidi="ar-SA"/>
        </w:rPr>
        <w:t>四方台区人民政府区长  刘 鹏</w:t>
      </w:r>
    </w:p>
    <w:p w14:paraId="39C22488">
      <w:pPr>
        <w:keepNext w:val="0"/>
        <w:keepLines w:val="0"/>
        <w:pageBreakBefore w:val="0"/>
        <w:widowControl w:val="0"/>
        <w:kinsoku/>
        <w:wordWrap/>
        <w:overflowPunct/>
        <w:autoSpaceDE/>
        <w:autoSpaceDN/>
        <w:bidi w:val="0"/>
        <w:spacing w:line="592" w:lineRule="exact"/>
        <w:ind w:firstLine="644" w:firstLineChars="200"/>
        <w:jc w:val="both"/>
        <w:rPr>
          <w:rFonts w:hint="eastAsia" w:ascii="楷体_GB2312" w:hAnsi="楷体_GB2312" w:eastAsia="楷体_GB2312" w:cs="楷体_GB2312"/>
          <w:color w:val="auto"/>
          <w:spacing w:val="11"/>
          <w:sz w:val="30"/>
          <w:szCs w:val="30"/>
          <w:highlight w:val="none"/>
        </w:rPr>
      </w:pPr>
    </w:p>
    <w:p w14:paraId="74D27F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2" w:lineRule="exact"/>
        <w:ind w:right="0" w:rightChars="0"/>
        <w:jc w:val="both"/>
        <w:textAlignment w:val="auto"/>
        <w:rPr>
          <w:rFonts w:hint="default" w:ascii="仿宋_GB2312" w:hAnsi="Times New Roman" w:eastAsia="仿宋_GB2312" w:cs="仿宋_GB2312"/>
          <w:i w:val="0"/>
          <w:iCs w:val="0"/>
          <w:caps w:val="0"/>
          <w:color w:val="auto"/>
          <w:spacing w:val="11"/>
          <w:kern w:val="0"/>
          <w:sz w:val="32"/>
          <w:szCs w:val="32"/>
          <w:highlight w:val="none"/>
          <w:lang w:val="en-US" w:eastAsia="zh-CN" w:bidi="ar"/>
        </w:rPr>
      </w:pPr>
      <w:r>
        <w:rPr>
          <w:rFonts w:hint="eastAsia" w:ascii="仿宋_GB2312" w:hAnsi="Times New Roman" w:eastAsia="仿宋_GB2312" w:cs="仿宋_GB2312"/>
          <w:i w:val="0"/>
          <w:iCs w:val="0"/>
          <w:caps w:val="0"/>
          <w:color w:val="auto"/>
          <w:spacing w:val="11"/>
          <w:kern w:val="0"/>
          <w:sz w:val="32"/>
          <w:szCs w:val="32"/>
          <w:highlight w:val="none"/>
          <w:lang w:val="en-US" w:eastAsia="zh-CN" w:bidi="ar"/>
        </w:rPr>
        <w:t>各位代表：</w:t>
      </w:r>
    </w:p>
    <w:p w14:paraId="3BE15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2" w:lineRule="exact"/>
        <w:ind w:right="0" w:rightChars="0" w:firstLine="684" w:firstLineChars="200"/>
        <w:jc w:val="both"/>
        <w:textAlignment w:val="auto"/>
        <w:rPr>
          <w:rFonts w:hint="default" w:ascii="仿宋_GB2312" w:hAnsi="Times New Roman" w:eastAsia="仿宋_GB2312" w:cs="仿宋_GB2312"/>
          <w:i w:val="0"/>
          <w:iCs w:val="0"/>
          <w:caps w:val="0"/>
          <w:color w:val="auto"/>
          <w:spacing w:val="11"/>
          <w:kern w:val="0"/>
          <w:sz w:val="32"/>
          <w:szCs w:val="32"/>
          <w:highlight w:val="none"/>
          <w:lang w:val="en-US" w:eastAsia="zh-CN" w:bidi="ar"/>
        </w:rPr>
      </w:pPr>
      <w:r>
        <w:rPr>
          <w:rFonts w:hint="eastAsia" w:ascii="仿宋_GB2312" w:hAnsi="Times New Roman" w:eastAsia="仿宋_GB2312" w:cs="仿宋_GB2312"/>
          <w:i w:val="0"/>
          <w:iCs w:val="0"/>
          <w:caps w:val="0"/>
          <w:color w:val="auto"/>
          <w:spacing w:val="11"/>
          <w:kern w:val="0"/>
          <w:sz w:val="32"/>
          <w:szCs w:val="32"/>
          <w:highlight w:val="none"/>
          <w:lang w:val="en-US" w:eastAsia="zh-CN" w:bidi="ar"/>
        </w:rPr>
        <w:t>现在，我代表四方台区人民政府向大会报告工作，请予审议。</w:t>
      </w:r>
    </w:p>
    <w:p w14:paraId="4006A58A">
      <w:pPr>
        <w:keepNext w:val="0"/>
        <w:keepLines w:val="0"/>
        <w:pageBreakBefore w:val="0"/>
        <w:widowControl w:val="0"/>
        <w:kinsoku/>
        <w:wordWrap/>
        <w:overflowPunct/>
        <w:topLinePunct w:val="0"/>
        <w:autoSpaceDE/>
        <w:autoSpaceDN/>
        <w:bidi w:val="0"/>
        <w:adjustRightInd/>
        <w:snapToGrid/>
        <w:spacing w:line="592" w:lineRule="exact"/>
        <w:ind w:firstLine="684" w:firstLineChars="200"/>
        <w:jc w:val="both"/>
        <w:textAlignment w:val="auto"/>
        <w:rPr>
          <w:rFonts w:ascii="微软雅黑" w:hAnsi="微软雅黑" w:eastAsia="微软雅黑"/>
          <w:color w:val="auto"/>
          <w:spacing w:val="11"/>
          <w:sz w:val="30"/>
          <w:szCs w:val="30"/>
          <w:highlight w:val="none"/>
        </w:rPr>
      </w:pPr>
      <w:r>
        <w:rPr>
          <w:rFonts w:hint="eastAsia" w:ascii="黑体" w:eastAsia="黑体" w:hAnsiTheme="minorHAnsi" w:cstheme="minorBidi"/>
          <w:color w:val="auto"/>
          <w:spacing w:val="11"/>
          <w:sz w:val="32"/>
          <w:szCs w:val="32"/>
          <w:highlight w:val="none"/>
          <w:lang w:val="en-US" w:eastAsia="zh-CN"/>
        </w:rPr>
        <w:t>一、2023年工作回顾</w:t>
      </w:r>
    </w:p>
    <w:p w14:paraId="7C4FBC3C">
      <w:pPr>
        <w:keepNext w:val="0"/>
        <w:keepLines w:val="0"/>
        <w:pageBreakBefore w:val="0"/>
        <w:widowControl w:val="0"/>
        <w:kinsoku/>
        <w:wordWrap/>
        <w:overflowPunct/>
        <w:topLinePunct w:val="0"/>
        <w:autoSpaceDE/>
        <w:autoSpaceDN/>
        <w:bidi w:val="0"/>
        <w:adjustRightInd/>
        <w:snapToGrid/>
        <w:spacing w:line="592" w:lineRule="exact"/>
        <w:ind w:firstLine="684" w:firstLineChars="200"/>
        <w:jc w:val="both"/>
        <w:textAlignment w:val="auto"/>
        <w:rPr>
          <w:rFonts w:hint="default" w:ascii="微软雅黑" w:hAnsi="微软雅黑" w:eastAsia="微软雅黑"/>
          <w:color w:val="auto"/>
          <w:spacing w:val="11"/>
          <w:sz w:val="30"/>
          <w:szCs w:val="30"/>
          <w:highlight w:val="none"/>
          <w:u w:val="none"/>
          <w:lang w:val="en-US"/>
        </w:rPr>
      </w:pPr>
      <w:r>
        <w:rPr>
          <w:rFonts w:hint="eastAsia" w:ascii="仿宋_GB2312" w:hAnsi="仿宋_GB2312" w:eastAsia="仿宋_GB2312" w:cs="仿宋_GB2312"/>
          <w:i w:val="0"/>
          <w:iCs w:val="0"/>
          <w:caps w:val="0"/>
          <w:color w:val="auto"/>
          <w:spacing w:val="11"/>
          <w:kern w:val="0"/>
          <w:sz w:val="32"/>
          <w:szCs w:val="32"/>
          <w:highlight w:val="none"/>
          <w:lang w:val="en-US" w:eastAsia="zh-CN" w:bidi="ar"/>
        </w:rPr>
        <w:t>过去一年，是我区全面贯彻党的二十大精神开局之年，也是实施“十四五”规划承上启下关键一年。我们坚持以习近平新时代中国特色社会主义思想为指导，深入落实习近平总书记对我省系列重要讲话重要指示精神，在市委、市政府及区委坚强领导下，在区人大、区政协监督支持下，深入贯彻稳中求进工作总基调，奋力走好高质量发展、可持续振兴新路子，服务市场主体发展壮大，推动经济社会平稳运行。预计全区地区生产总值同</w:t>
      </w:r>
      <w:bookmarkStart w:id="0" w:name="_GoBack"/>
      <w:bookmarkEnd w:id="0"/>
      <w:r>
        <w:rPr>
          <w:rFonts w:hint="eastAsia" w:ascii="仿宋_GB2312" w:hAnsi="仿宋_GB2312" w:eastAsia="仿宋_GB2312" w:cs="仿宋_GB2312"/>
          <w:i w:val="0"/>
          <w:iCs w:val="0"/>
          <w:caps w:val="0"/>
          <w:color w:val="auto"/>
          <w:spacing w:val="11"/>
          <w:kern w:val="0"/>
          <w:sz w:val="32"/>
          <w:szCs w:val="32"/>
          <w:highlight w:val="none"/>
          <w:lang w:val="en-US" w:eastAsia="zh-CN" w:bidi="ar"/>
        </w:rPr>
        <w:t>比增长3%、固定资产投资同比增长4.2%、一般公共预算收入同比增长8.8%，城乡居民人均可支配收入与经济增长基本同步，主要经济指标增幅跃居全市第一方阵。</w:t>
      </w:r>
    </w:p>
    <w:p w14:paraId="7BE4BABA">
      <w:pPr>
        <w:keepNext w:val="0"/>
        <w:keepLines w:val="0"/>
        <w:pageBreakBefore w:val="0"/>
        <w:widowControl w:val="0"/>
        <w:kinsoku/>
        <w:wordWrap/>
        <w:overflowPunct/>
        <w:topLinePunct w:val="0"/>
        <w:autoSpaceDE/>
        <w:autoSpaceDN/>
        <w:bidi w:val="0"/>
        <w:adjustRightInd/>
        <w:snapToGrid/>
        <w:spacing w:line="592" w:lineRule="exact"/>
        <w:ind w:firstLine="684" w:firstLineChars="200"/>
        <w:jc w:val="both"/>
        <w:textAlignment w:val="auto"/>
        <w:rPr>
          <w:rFonts w:hint="default" w:ascii="仿宋_GB2312" w:hAnsi="仿宋_GB2312" w:eastAsia="仿宋_GB2312" w:cs="仿宋_GB2312"/>
          <w:i w:val="0"/>
          <w:iCs w:val="0"/>
          <w:caps w:val="0"/>
          <w:color w:val="auto"/>
          <w:spacing w:val="11"/>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（一）推动产业结构升级，动能转换成势见效。</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在产业结构转型上求突破。</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顺应后疫情时代宏观形势变化，培育服务优质潜力企业，引导转化发展瓶颈企业。</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伟明生活垃圾焚烧发电项目成功并网发电，杨木岗风力发电扩产提能，新能源产业初具规模；龙冶镀锌铁线及钢绞线生产加工、桂宇生活垃圾焚烧炉渣综合利用、新风江废旧轮胎综合处理项目入驻循环经济产业园区。全区规上工业企业主营业务均为非煤产业，基本摆脱“一煤独大”格局，初步扭转“产业结构偏重”问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在民营经济发展上求突破</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顺利完成全国民爆行业龙头，省内最大民爆企业——盛安民爆有限公司总部自外市迁入我区，实现四方台总部经济从无到有、从有到优的跨越。墨砾新材料、龙冶科技等一批支柱企业竣工达产，非公经济比重快速提升，规上企业中民营企业占比达86%，初步摆脱“民营经济偏弱”状态。</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在经济规模壮大上求突破</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2023年，我区经济总量与主要经济指标齐头并进、快速提升，实现省、市重点项目开复工建设32个，项目总投资12.95亿元。区级税收收入同比增幅达20.8%，税收收入占比首次超过非税收入，位居全市第三位。在增速快速提升的同时，地区生产总值、工业总产值、固定资产投资总量也实现晋位，初步解决“经济总量偏小”问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在科技创新引领上求突破。</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坚持以创新驱动发展，启动六六鸭科技公司创建省级孵化器项目，科技型中小企业入库7家，完成墨砾新型材料高新技术企业认定，实现我区高新技术企业“零”的突破。</w:t>
      </w:r>
    </w:p>
    <w:p w14:paraId="29E63501">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（二）推动农业改革突破，乡村振兴全面发力。</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优化农业种植结构。</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利用边角地、机动地有效扩大农业种植面积1万亩，课税耕地面积增长8.4%。“田长制”改革持续深化，农业智慧管理平台建设进入实施阶段，“多长合一”综合监管体系进一步完善。持续推动“菜园革命”，全区菜园利用率同比增长5%。推进“一村一品”，扩大开源黏玉米、靠山高钙果、九三蒜苗等特色经济作物种植面积，累计达到1.1万亩，同比增长12%。圆满完成2.36万亩大豆扩种任务，粮食总产量超过亿斤，顺利实现“二十连丰”。</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优化农业管理结构。</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农业机械化率达到98%以上，米豆间作、麦菜复种、耕地轮作技术得到应用推广。秸秆综合利用有效推进，秸秆还田面积8.51万亩，离田面积3.58万亩，顺利完成秸秆综合利用率91%以上目标。稳步发展畜牧产业，猪、牛、羊出栏量分别达到2.55万头、0.2万头和0.67万只，家禽出栏量达6万羽。全年畜牧业产值预计完成1.22亿元，同比增长5%。</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优化农业生产结构。</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大力培育新型经营主体，全区流转土地6.9万亩，规模经营面积7.6万亩，流转占比53.57%、规模经营占比59%。经济作物绿色食品认证面积0.21万亩，绿色食品生产企业2家，认证绿色食品种类6个。首次实行区街土地公开竞拍，实现土地发包收益三连增。开展垦地合作面积1100余亩，示范带动作用凸显。</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优化农业经营结构。</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实施乡村产业振兴，力促“一村一品”规模化、产业化、品牌化经营。推动高钙果、肉驴养殖、蚕蛾酒、百菇园等产业项目扩大规模，带动农民就业189人，增加村集体收入46.4万元。拓宽农产品销售渠道，打造“四方家宴”品牌，区内一批特色优质农产品亮相“绿博会”，知名度、影响力进一步提升，带动乡村经济发展。</w:t>
      </w:r>
    </w:p>
    <w:p w14:paraId="4360E5DA">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仿宋_GB2312" w:hAnsi="仿宋_GB2312" w:eastAsia="仿宋_GB2312" w:cs="仿宋_GB2312"/>
          <w:i w:val="0"/>
          <w:iCs w:val="0"/>
          <w:caps w:val="0"/>
          <w:color w:val="auto"/>
          <w:spacing w:val="11"/>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（三）推动环境治理长效，生态底色愈发亮丽。</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深化蓝天保卫战。</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持续推进独立工矿区6台20蒸吨燃煤锅炉升级改造；完成主城区2台20蒸吨燃煤锅炉替代。伟明生活垃圾焚烧发电余热与主城区供热顺利对接，迈出清洁能源供热替代第一步。秸秆禁烧实现零火点，全区空气质量优良天数比率达95.3%。</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深化碧水保卫战。</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通过河湖“清四乱”发现并整改问题11处。河湖库、小微水体管护实现“全覆盖”。实施水源保护工程27处，完成11处乡镇级和村级饮用水水源地排查，区级集中式饮用水水源地水质达标率实现100%。实施农村生活污水治理项目，农村人居环境有效改善。</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深化净土保卫战。</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加强黑土保护，以土地生态修复为抓手，盘活沉陷区废弃土地110公顷，推动43处102公顷废弃矿山纳入全市历史遗留矿山生态修复范围，年内完成18.9公顷治理任务，超额完成全年任务的236.25%。提前三年治理完成侵蚀沟71条，控制水土流失面积32.32平方公里，全面完成中央环保督察侵蚀沟治理任务。土地深翻面积达1.26万亩，深松面积2.22万亩，农业“三减”面积占全区耕地面积的13%。完成区内煤矸石治理3.75万吨。清理集贤矿大型露天垃圾填埋点，清运量达10余万立方，困扰周边区域多年的垃圾污染问题彻底解决。</w:t>
      </w:r>
    </w:p>
    <w:p w14:paraId="095C0820">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（四）推动文旅开创新路，激发区域经济活力。</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积极创新服务载体。</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开展“赏花节”、社区文化艺术节、农民丰收节等活动20余场。推出紫云岭公益性公园、山河水库“一日游”线路，进一步完善景区基础设施建设，借助山、水、花、石自然禀赋，打造休闲文化游、科普观光游等旅游产品。助推区域冰雪经济发展，通过举办“冬捕节”“冻货节”，鲜鱼、冻货及农副产品日销售额超10万元；老七一酱驴肉制作、北沉香雕刻技艺分别列入省级、区级非物质文化遗产。</w:t>
      </w:r>
      <w:r>
        <w:rPr>
          <w:rFonts w:hint="eastAsia" w:ascii="仿宋_GB2312" w:eastAsia="仿宋_GB2312" w:cs="仿宋_GB2312"/>
          <w:b/>
          <w:bCs/>
          <w:color w:val="auto"/>
          <w:spacing w:val="11"/>
          <w:sz w:val="32"/>
          <w:szCs w:val="32"/>
          <w:highlight w:val="none"/>
          <w:lang w:eastAsia="zh-CN"/>
        </w:rPr>
        <w:t>加速</w:t>
      </w:r>
      <w:r>
        <w:rPr>
          <w:rFonts w:hint="eastAsia" w:ascii="仿宋_GB2312" w:eastAsia="仿宋_GB2312" w:cs="仿宋_GB2312"/>
          <w:b/>
          <w:bCs/>
          <w:color w:val="auto"/>
          <w:spacing w:val="11"/>
          <w:sz w:val="32"/>
          <w:szCs w:val="32"/>
          <w:highlight w:val="none"/>
          <w:lang w:val="en-US" w:eastAsia="zh-CN"/>
        </w:rPr>
        <w:t>推广</w:t>
      </w:r>
      <w:r>
        <w:rPr>
          <w:rFonts w:hint="eastAsia" w:ascii="仿宋_GB2312" w:eastAsia="仿宋_GB2312" w:cs="仿宋_GB2312"/>
          <w:b/>
          <w:bCs/>
          <w:color w:val="auto"/>
          <w:spacing w:val="11"/>
          <w:sz w:val="32"/>
          <w:szCs w:val="32"/>
          <w:highlight w:val="none"/>
          <w:lang w:eastAsia="zh-CN"/>
        </w:rPr>
        <w:t>平台经济</w:t>
      </w:r>
      <w:r>
        <w:rPr>
          <w:rFonts w:hint="eastAsia" w:ascii="仿宋_GB2312" w:eastAsia="仿宋_GB2312" w:cs="仿宋_GB2312"/>
          <w:color w:val="auto"/>
          <w:spacing w:val="11"/>
          <w:sz w:val="32"/>
          <w:szCs w:val="32"/>
          <w:highlight w:val="none"/>
          <w:lang w:eastAsia="zh-CN"/>
        </w:rPr>
        <w:t>。带动</w:t>
      </w:r>
      <w:r>
        <w:rPr>
          <w:rFonts w:hint="eastAsia" w:ascii="仿宋_GB2312" w:eastAsia="仿宋_GB2312" w:cs="仿宋_GB2312"/>
          <w:color w:val="auto"/>
          <w:spacing w:val="11"/>
          <w:sz w:val="32"/>
          <w:szCs w:val="32"/>
          <w:highlight w:val="none"/>
          <w:lang w:val="en-US" w:eastAsia="zh-CN"/>
        </w:rPr>
        <w:t>零售</w:t>
      </w:r>
      <w:r>
        <w:rPr>
          <w:rFonts w:hint="eastAsia" w:ascii="仿宋_GB2312" w:eastAsia="仿宋_GB2312" w:cs="仿宋_GB2312"/>
          <w:color w:val="auto"/>
          <w:spacing w:val="11"/>
          <w:sz w:val="32"/>
          <w:szCs w:val="32"/>
          <w:highlight w:val="none"/>
          <w:lang w:eastAsia="zh-CN"/>
        </w:rPr>
        <w:t>实体</w:t>
      </w:r>
      <w:r>
        <w:rPr>
          <w:rFonts w:hint="eastAsia" w:ascii="仿宋_GB2312" w:eastAsia="仿宋_GB2312" w:cs="仿宋_GB2312"/>
          <w:color w:val="auto"/>
          <w:spacing w:val="11"/>
          <w:sz w:val="32"/>
          <w:szCs w:val="32"/>
          <w:highlight w:val="none"/>
          <w:lang w:val="en-US" w:eastAsia="zh-CN"/>
        </w:rPr>
        <w:t>拓宽</w:t>
      </w:r>
      <w:r>
        <w:rPr>
          <w:rFonts w:hint="eastAsia" w:ascii="仿宋_GB2312" w:eastAsia="仿宋_GB2312" w:cs="仿宋_GB2312"/>
          <w:color w:val="auto"/>
          <w:spacing w:val="11"/>
          <w:sz w:val="32"/>
          <w:szCs w:val="32"/>
          <w:highlight w:val="none"/>
          <w:lang w:eastAsia="zh-CN"/>
        </w:rPr>
        <w:t>业务</w:t>
      </w:r>
      <w:r>
        <w:rPr>
          <w:rFonts w:hint="eastAsia" w:ascii="仿宋_GB2312" w:eastAsia="仿宋_GB2312" w:cs="仿宋_GB2312"/>
          <w:color w:val="auto"/>
          <w:spacing w:val="11"/>
          <w:sz w:val="32"/>
          <w:szCs w:val="32"/>
          <w:highlight w:val="none"/>
          <w:lang w:val="en-US" w:eastAsia="zh-CN"/>
        </w:rPr>
        <w:t>渠道</w:t>
      </w:r>
      <w:r>
        <w:rPr>
          <w:rFonts w:hint="eastAsia" w:ascii="仿宋_GB2312" w:eastAsia="仿宋_GB2312" w:cs="仿宋_GB2312"/>
          <w:color w:val="auto"/>
          <w:spacing w:val="11"/>
          <w:sz w:val="32"/>
          <w:szCs w:val="32"/>
          <w:highlight w:val="none"/>
          <w:lang w:eastAsia="zh-CN"/>
        </w:rPr>
        <w:t>，向直播电商等新经济、新业态、新模式转型发展，</w:t>
      </w:r>
      <w:r>
        <w:rPr>
          <w:rFonts w:hint="eastAsia" w:ascii="仿宋_GB2312" w:eastAsia="仿宋_GB2312" w:cs="仿宋_GB2312"/>
          <w:color w:val="auto"/>
          <w:spacing w:val="11"/>
          <w:sz w:val="32"/>
          <w:szCs w:val="32"/>
          <w:highlight w:val="none"/>
          <w:lang w:val="en-US" w:eastAsia="zh-CN"/>
        </w:rPr>
        <w:t>我区</w:t>
      </w:r>
      <w:r>
        <w:rPr>
          <w:rFonts w:hint="eastAsia" w:ascii="仿宋_GB2312" w:eastAsia="仿宋_GB2312" w:cs="仿宋_GB2312"/>
          <w:color w:val="auto"/>
          <w:spacing w:val="11"/>
          <w:sz w:val="32"/>
          <w:szCs w:val="32"/>
          <w:highlight w:val="none"/>
          <w:lang w:eastAsia="zh-CN"/>
        </w:rPr>
        <w:t>7家单位</w:t>
      </w:r>
      <w:r>
        <w:rPr>
          <w:rFonts w:hint="eastAsia" w:ascii="仿宋_GB2312" w:eastAsia="仿宋_GB2312" w:cs="仿宋_GB2312"/>
          <w:color w:val="auto"/>
          <w:spacing w:val="11"/>
          <w:sz w:val="32"/>
          <w:szCs w:val="32"/>
          <w:highlight w:val="none"/>
          <w:lang w:val="en-US" w:eastAsia="zh-CN"/>
        </w:rPr>
        <w:t>与</w:t>
      </w:r>
      <w:r>
        <w:rPr>
          <w:rFonts w:hint="eastAsia" w:ascii="仿宋_GB2312" w:eastAsia="仿宋_GB2312" w:cs="仿宋_GB2312"/>
          <w:color w:val="auto"/>
          <w:spacing w:val="11"/>
          <w:sz w:val="32"/>
          <w:szCs w:val="32"/>
          <w:highlight w:val="none"/>
          <w:lang w:eastAsia="zh-CN"/>
        </w:rPr>
        <w:t>企业</w:t>
      </w:r>
      <w:r>
        <w:rPr>
          <w:rFonts w:hint="eastAsia" w:ascii="仿宋_GB2312" w:eastAsia="仿宋_GB2312" w:cs="仿宋_GB2312"/>
          <w:color w:val="auto"/>
          <w:spacing w:val="11"/>
          <w:sz w:val="32"/>
          <w:szCs w:val="32"/>
          <w:highlight w:val="none"/>
          <w:lang w:val="en-US" w:eastAsia="zh-CN"/>
        </w:rPr>
        <w:t>联合</w:t>
      </w:r>
      <w:r>
        <w:rPr>
          <w:rFonts w:hint="eastAsia" w:ascii="仿宋_GB2312" w:eastAsia="仿宋_GB2312" w:cs="仿宋_GB2312"/>
          <w:color w:val="auto"/>
          <w:spacing w:val="11"/>
          <w:sz w:val="32"/>
          <w:szCs w:val="32"/>
          <w:highlight w:val="none"/>
          <w:lang w:eastAsia="zh-CN"/>
        </w:rPr>
        <w:t>开展线上销售，</w:t>
      </w:r>
      <w:r>
        <w:rPr>
          <w:rFonts w:hint="eastAsia" w:ascii="仿宋_GB2312" w:eastAsia="仿宋_GB2312" w:cs="仿宋_GB2312"/>
          <w:color w:val="auto"/>
          <w:spacing w:val="11"/>
          <w:sz w:val="32"/>
          <w:szCs w:val="32"/>
          <w:highlight w:val="none"/>
          <w:lang w:val="en-US" w:eastAsia="zh-CN"/>
        </w:rPr>
        <w:t>通过</w:t>
      </w:r>
      <w:r>
        <w:rPr>
          <w:rFonts w:hint="eastAsia" w:ascii="仿宋_GB2312" w:eastAsia="仿宋_GB2312" w:cs="仿宋_GB2312"/>
          <w:color w:val="auto"/>
          <w:spacing w:val="11"/>
          <w:sz w:val="32"/>
          <w:szCs w:val="32"/>
          <w:highlight w:val="none"/>
          <w:lang w:eastAsia="zh-CN"/>
        </w:rPr>
        <w:t>“乡村有好物 电商助振兴”网络直播带货，帮助果农销售生态葡萄、桃李、榛果等农产品，线</w:t>
      </w:r>
      <w:r>
        <w:rPr>
          <w:rFonts w:hint="eastAsia" w:ascii="仿宋_GB2312" w:eastAsia="仿宋_GB2312" w:cs="仿宋_GB2312"/>
          <w:color w:val="auto"/>
          <w:spacing w:val="11"/>
          <w:sz w:val="32"/>
          <w:szCs w:val="32"/>
          <w:highlight w:val="none"/>
          <w:lang w:val="en-US" w:eastAsia="zh-CN"/>
        </w:rPr>
        <w:t>上参与</w:t>
      </w:r>
      <w:r>
        <w:rPr>
          <w:rFonts w:hint="eastAsia" w:ascii="仿宋_GB2312" w:eastAsia="仿宋_GB2312" w:cs="仿宋_GB2312"/>
          <w:color w:val="auto"/>
          <w:spacing w:val="11"/>
          <w:sz w:val="32"/>
          <w:szCs w:val="32"/>
          <w:highlight w:val="none"/>
          <w:lang w:eastAsia="zh-CN"/>
        </w:rPr>
        <w:t>16.8万人次，</w:t>
      </w:r>
      <w:r>
        <w:rPr>
          <w:rFonts w:hint="eastAsia" w:ascii="仿宋_GB2312" w:eastAsia="仿宋_GB2312" w:cs="仿宋_GB2312"/>
          <w:color w:val="auto"/>
          <w:spacing w:val="11"/>
          <w:sz w:val="32"/>
          <w:szCs w:val="32"/>
          <w:highlight w:val="none"/>
          <w:lang w:val="en-US" w:eastAsia="zh-CN"/>
        </w:rPr>
        <w:t>实现</w:t>
      </w:r>
      <w:r>
        <w:rPr>
          <w:rFonts w:hint="eastAsia" w:ascii="仿宋_GB2312" w:eastAsia="仿宋_GB2312" w:cs="仿宋_GB2312"/>
          <w:color w:val="auto"/>
          <w:spacing w:val="11"/>
          <w:sz w:val="32"/>
          <w:szCs w:val="32"/>
          <w:highlight w:val="none"/>
          <w:lang w:eastAsia="zh-CN"/>
        </w:rPr>
        <w:t>经济效益</w:t>
      </w:r>
      <w:r>
        <w:rPr>
          <w:rFonts w:hint="eastAsia" w:ascii="仿宋_GB2312" w:eastAsia="仿宋_GB2312" w:cs="仿宋_GB2312"/>
          <w:color w:val="auto"/>
          <w:spacing w:val="11"/>
          <w:sz w:val="32"/>
          <w:szCs w:val="32"/>
          <w:highlight w:val="none"/>
          <w:lang w:val="en-US" w:eastAsia="zh-CN"/>
        </w:rPr>
        <w:t>24</w:t>
      </w:r>
      <w:r>
        <w:rPr>
          <w:rFonts w:hint="eastAsia" w:ascii="仿宋_GB2312" w:eastAsia="仿宋_GB2312" w:cs="仿宋_GB2312"/>
          <w:color w:val="auto"/>
          <w:spacing w:val="11"/>
          <w:sz w:val="32"/>
          <w:szCs w:val="32"/>
          <w:highlight w:val="none"/>
          <w:lang w:eastAsia="zh-CN"/>
        </w:rPr>
        <w:t>.8万元，</w:t>
      </w:r>
      <w:r>
        <w:rPr>
          <w:rFonts w:hint="eastAsia" w:ascii="仿宋_GB2312" w:eastAsia="仿宋_GB2312" w:cs="仿宋_GB2312"/>
          <w:color w:val="auto"/>
          <w:spacing w:val="11"/>
          <w:sz w:val="32"/>
          <w:szCs w:val="32"/>
          <w:highlight w:val="none"/>
          <w:lang w:val="en-US" w:eastAsia="zh-CN"/>
        </w:rPr>
        <w:t>线上</w:t>
      </w:r>
      <w:r>
        <w:rPr>
          <w:rFonts w:hint="eastAsia" w:ascii="仿宋_GB2312" w:eastAsia="仿宋_GB2312" w:cs="仿宋_GB2312"/>
          <w:color w:val="auto"/>
          <w:spacing w:val="11"/>
          <w:sz w:val="32"/>
          <w:szCs w:val="32"/>
          <w:highlight w:val="none"/>
          <w:lang w:eastAsia="zh-CN"/>
        </w:rPr>
        <w:t>农产品全年累计销售额480余万元。</w:t>
      </w:r>
    </w:p>
    <w:p w14:paraId="3F8486CD">
      <w:pPr>
        <w:keepNext w:val="0"/>
        <w:keepLines w:val="0"/>
        <w:pageBreakBefore w:val="0"/>
        <w:widowControl w:val="0"/>
        <w:kinsoku/>
        <w:wordWrap/>
        <w:overflowPunct/>
        <w:autoSpaceDE/>
        <w:autoSpaceDN/>
        <w:bidi w:val="0"/>
        <w:adjustRightInd/>
        <w:spacing w:line="592" w:lineRule="exact"/>
        <w:ind w:firstLine="684" w:firstLineChars="200"/>
        <w:jc w:val="both"/>
        <w:rPr>
          <w:rFonts w:hint="default"/>
          <w:color w:val="auto"/>
          <w:spacing w:val="11"/>
          <w:lang w:val="en-US" w:eastAsia="zh-CN"/>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（五）推动基础设施建设，发展底力持续夯实。</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坚决为群众用好每一分钱，带头过“紧日子”，真正把“好钢用在刀刃上”，以有限资金支持公共服务品质提升。</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保障供热取暖质量。</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通过“冬病夏治”改造供热老旧管网7公里，供热效能显著提高。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保障交通出行质量。</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完成中华村至靠山村9.94公里农村公路升级改造；村内道路硬化10.63公里。</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保障饮水安全质量。</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实施中华村、五四村等7个村屯饮水改造工程，供水管网升级改造15公里，群众实现从喝上水到喝好水的转变。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着力改善人居环境。</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以“六清一修一改一建”为抓手，深入推进农村人居环境整治，厕所革命探索户厕自建模式，村屯、道路周边柴草、杂物堆积问题得到整治，村容村貌整体改善。</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集贤独立工矿区、中华村污水处理设施改造建设有序推进。</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严格垃圾分类制度，设立分类亭40个，投放垃圾桶200个，清理建筑垃圾200余吨、生活垃圾1.5万立方。</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化解历史遗留难题。</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破解广源1至3期、集贤粮食家园等五个居民小区不动产权证“办证难”历史遗留问题。帮助市经开区解决欧蓓莎二期（东鹏温泉假日酒店）不动产登记办理问题，为项目盘活及后续发展保驾护航。</w:t>
      </w:r>
    </w:p>
    <w:p w14:paraId="7FA66FA8">
      <w:pPr>
        <w:keepNext w:val="0"/>
        <w:keepLines w:val="0"/>
        <w:pageBreakBefore w:val="0"/>
        <w:widowControl w:val="0"/>
        <w:numPr>
          <w:ilvl w:val="0"/>
          <w:numId w:val="0"/>
        </w:numPr>
        <w:kinsoku/>
        <w:wordWrap/>
        <w:overflowPunct/>
        <w:autoSpaceDE/>
        <w:autoSpaceDN/>
        <w:bidi w:val="0"/>
        <w:adjustRightInd/>
        <w:spacing w:line="592" w:lineRule="exact"/>
        <w:ind w:firstLine="684" w:firstLineChars="200"/>
        <w:jc w:val="both"/>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2"/>
          <w:szCs w:val="32"/>
          <w:highlight w:val="none"/>
          <w:lang w:val="en-US" w:eastAsia="zh-CN" w:bidi="ar"/>
        </w:rPr>
        <w:t>（六）推动民生福祉改善，温馨四方台更有质感。</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坚持以“人民为中心”发展思想，紧密围绕群众所需所盼，全情投入民生保障，2023年我区民生领域支出占总支出的79%。</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以民为本开源节流。</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全区</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“三公”经费缩减10%，政府一般性支出和非刚性支出进一步收窄。</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同时，为办好民生实事，我们</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在严控政府支出的前提下，</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多渠道对上争取资金支持。本年度新增地方政府债券资金占历年地方政府债券资金总量的58.68%；顺利申请2022年供热老旧管网维修改造及附属设施项目、城镇二次供水设施改造项目中央预算资金，实现中央预算内投资项目“零”的突破，实际获得转移支付资金比年初计划增长134.97%，为民生事业发展夯实了财力基础。</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社会保障扩面提质。</w:t>
      </w:r>
      <w:r>
        <w:rPr>
          <w:rFonts w:hint="eastAsia" w:ascii="仿宋_GB2312" w:hAnsi="仿宋_GB2312" w:eastAsia="仿宋_GB2312" w:cs="仿宋_GB2312"/>
          <w:b w:val="0"/>
          <w:bCs w:val="0"/>
          <w:color w:val="auto"/>
          <w:spacing w:val="11"/>
          <w:sz w:val="32"/>
          <w:szCs w:val="32"/>
          <w:highlight w:val="none"/>
          <w:lang w:val="en-US" w:eastAsia="zh-CN"/>
        </w:rPr>
        <w:t>兜牢基本民生底线，发放保障金3700万元、惠及群众6808人。</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持续宣传就业创业政策，及时发放一次性创业补贴。组织开展职业技能培训班8期，帮助重点群体拓宽就业渠道。全年新增</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就业</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1255人</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超额完成全年目标；失业人员、就业困难人员再就业分别达2235人、743人。农村危房改造项目为49户低保户与分散供养特困人群解决危房问题。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社会事业稳步发展。</w:t>
      </w:r>
      <w:r>
        <w:rPr>
          <w:rFonts w:hint="eastAsia" w:ascii="仿宋_GB2312" w:hAnsi="仿宋_GB2312" w:eastAsia="仿宋_GB2312" w:cs="仿宋_GB2312"/>
          <w:color w:val="auto"/>
          <w:spacing w:val="11"/>
          <w:sz w:val="32"/>
          <w:szCs w:val="32"/>
          <w:highlight w:val="none"/>
        </w:rPr>
        <w:t>推动教育资源整合。实施新时代基础教育质量提升工程，“双减”政策有效落实，统筹学前教育、义务教育均衡发展。完成2023年普惠性幼儿园认定，提前实现覆盖率100%目标。因地制宜发展体育事业</w:t>
      </w:r>
      <w:r>
        <w:rPr>
          <w:rFonts w:hint="eastAsia" w:ascii="仿宋_GB2312" w:hAnsi="仿宋_GB2312" w:eastAsia="仿宋_GB2312" w:cs="仿宋_GB2312"/>
          <w:color w:val="auto"/>
          <w:spacing w:val="11"/>
          <w:sz w:val="32"/>
          <w:szCs w:val="32"/>
          <w:highlight w:val="none"/>
          <w:lang w:val="en-US" w:eastAsia="zh-CN"/>
        </w:rPr>
        <w:t>，举办冰上运动及拔河、球类等竞赛活动，</w:t>
      </w:r>
      <w:r>
        <w:rPr>
          <w:rFonts w:hint="eastAsia" w:ascii="仿宋_GB2312" w:hAnsi="仿宋_GB2312" w:eastAsia="仿宋_GB2312" w:cs="仿宋_GB2312"/>
          <w:color w:val="auto"/>
          <w:spacing w:val="11"/>
          <w:sz w:val="32"/>
          <w:szCs w:val="32"/>
          <w:highlight w:val="none"/>
        </w:rPr>
        <w:t>群众体育健身</w:t>
      </w:r>
      <w:r>
        <w:rPr>
          <w:rFonts w:hint="eastAsia" w:ascii="仿宋_GB2312" w:hAnsi="仿宋_GB2312" w:eastAsia="仿宋_GB2312" w:cs="仿宋_GB2312"/>
          <w:color w:val="auto"/>
          <w:spacing w:val="11"/>
          <w:sz w:val="32"/>
          <w:szCs w:val="32"/>
          <w:highlight w:val="none"/>
          <w:lang w:val="en-US" w:eastAsia="zh-CN"/>
        </w:rPr>
        <w:t>项目进一步丰富</w:t>
      </w:r>
      <w:r>
        <w:rPr>
          <w:rFonts w:hint="eastAsia" w:ascii="仿宋_GB2312" w:hAnsi="仿宋_GB2312" w:eastAsia="仿宋_GB2312" w:cs="仿宋_GB2312"/>
          <w:color w:val="auto"/>
          <w:spacing w:val="11"/>
          <w:sz w:val="32"/>
          <w:szCs w:val="32"/>
          <w:highlight w:val="none"/>
        </w:rPr>
        <w:t>。区</w:t>
      </w:r>
      <w:r>
        <w:rPr>
          <w:rFonts w:hint="eastAsia" w:ascii="仿宋_GB2312" w:hAnsi="仿宋_GB2312" w:eastAsia="仿宋_GB2312" w:cs="仿宋_GB2312"/>
          <w:color w:val="auto"/>
          <w:spacing w:val="11"/>
          <w:sz w:val="32"/>
          <w:szCs w:val="32"/>
          <w:highlight w:val="none"/>
          <w:lang w:val="en-US" w:eastAsia="zh-CN"/>
        </w:rPr>
        <w:t>医院</w:t>
      </w:r>
      <w:r>
        <w:rPr>
          <w:rFonts w:hint="eastAsia" w:ascii="仿宋_GB2312" w:hAnsi="仿宋_GB2312" w:eastAsia="仿宋_GB2312" w:cs="仿宋_GB2312"/>
          <w:color w:val="auto"/>
          <w:spacing w:val="11"/>
          <w:sz w:val="32"/>
          <w:szCs w:val="32"/>
          <w:highlight w:val="none"/>
        </w:rPr>
        <w:t>与市人民医院</w:t>
      </w:r>
      <w:r>
        <w:rPr>
          <w:rFonts w:hint="eastAsia" w:ascii="仿宋_GB2312" w:hAnsi="仿宋_GB2312" w:eastAsia="仿宋_GB2312" w:cs="仿宋_GB2312"/>
          <w:color w:val="auto"/>
          <w:spacing w:val="11"/>
          <w:sz w:val="32"/>
          <w:szCs w:val="32"/>
          <w:highlight w:val="none"/>
          <w:lang w:eastAsia="zh-CN"/>
        </w:rPr>
        <w:t>顺利</w:t>
      </w:r>
      <w:r>
        <w:rPr>
          <w:rFonts w:hint="eastAsia" w:ascii="仿宋_GB2312" w:hAnsi="仿宋_GB2312" w:eastAsia="仿宋_GB2312" w:cs="仿宋_GB2312"/>
          <w:color w:val="auto"/>
          <w:spacing w:val="11"/>
          <w:sz w:val="32"/>
          <w:szCs w:val="32"/>
          <w:highlight w:val="none"/>
        </w:rPr>
        <w:t>完成紧密型医联体建设</w:t>
      </w:r>
      <w:r>
        <w:rPr>
          <w:rFonts w:hint="eastAsia" w:ascii="仿宋_GB2312" w:hAnsi="仿宋_GB2312" w:eastAsia="仿宋_GB2312" w:cs="仿宋_GB2312"/>
          <w:color w:val="auto"/>
          <w:spacing w:val="11"/>
          <w:sz w:val="32"/>
          <w:szCs w:val="32"/>
          <w:highlight w:val="none"/>
          <w:lang w:eastAsia="zh-CN"/>
        </w:rPr>
        <w:t>，群众</w:t>
      </w:r>
      <w:r>
        <w:rPr>
          <w:rFonts w:hint="eastAsia" w:ascii="仿宋_GB2312" w:hAnsi="仿宋_GB2312" w:eastAsia="仿宋_GB2312" w:cs="仿宋_GB2312"/>
          <w:color w:val="auto"/>
          <w:spacing w:val="11"/>
          <w:sz w:val="32"/>
          <w:szCs w:val="32"/>
          <w:highlight w:val="none"/>
          <w:lang w:val="en-US" w:eastAsia="zh-CN"/>
        </w:rPr>
        <w:t>可以一级医院价格</w:t>
      </w:r>
      <w:r>
        <w:rPr>
          <w:rFonts w:hint="eastAsia" w:ascii="仿宋_GB2312" w:hAnsi="仿宋_GB2312" w:eastAsia="仿宋_GB2312" w:cs="仿宋_GB2312"/>
          <w:color w:val="auto"/>
          <w:spacing w:val="11"/>
          <w:sz w:val="32"/>
          <w:szCs w:val="32"/>
          <w:highlight w:val="none"/>
          <w:lang w:eastAsia="zh-CN"/>
        </w:rPr>
        <w:t>享受到三甲诊疗服务</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深入</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落实生育惠民政策，发放人口政策性资金379.9万元。设立基层医保服务站35个，基层公共卫生服务覆盖率达到97.94%。全区医保参保率达到95.65%。在全市率先建立智慧养老服务平台，探索打造老年助餐服务体系，9处社区爱心餐厅建立完成，便捷辖区独居老人用餐需求，提升“白发人群”生活质量。</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社会治理效能加强。</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面对后疫情时代，优化调整社区网格布局，充实各类网格员553人，网格员补贴待遇由300元调整至1610元。便民服务事项、基层社区治理、政务服务环境深度结合，社区网格由160个精简为80个，真正实现向基层下沉，基层治理能力显著提升。扎实推进森防消防、防汛抗旱、防灾减灾和清冰雪工作。依法打击违法犯罪活动，破获刑事案件98起，打掉违法犯罪团伙5个，严厉打击电诈违法犯罪，抓获涉诈人员78人。常态化严抓煤矿、非煤矿山、城镇燃气、食品流通、道路交通、危险化学品和烟花爆竹等行业领域安全，全区经济社会发展形势持续稳定。</w:t>
      </w:r>
    </w:p>
    <w:p w14:paraId="58792F53">
      <w:pPr>
        <w:keepNext w:val="0"/>
        <w:keepLines w:val="0"/>
        <w:pageBreakBefore w:val="0"/>
        <w:widowControl w:val="0"/>
        <w:numPr>
          <w:ilvl w:val="0"/>
          <w:numId w:val="0"/>
        </w:numPr>
        <w:kinsoku/>
        <w:wordWrap/>
        <w:overflowPunct/>
        <w:autoSpaceDE/>
        <w:autoSpaceDN/>
        <w:bidi w:val="0"/>
        <w:adjustRightInd/>
        <w:spacing w:line="592" w:lineRule="exact"/>
        <w:ind w:firstLine="684" w:firstLineChars="200"/>
        <w:jc w:val="both"/>
        <w:rPr>
          <w:rFonts w:hint="default"/>
          <w:color w:val="auto"/>
          <w:spacing w:val="11"/>
          <w:lang w:val="en-US" w:eastAsia="zh-CN"/>
        </w:rPr>
      </w:pPr>
      <w:r>
        <w:rPr>
          <w:rFonts w:hint="eastAsia" w:ascii="楷体_GB2312" w:hAnsi="楷体_GB2312" w:eastAsia="楷体_GB2312" w:cs="楷体_GB2312"/>
          <w:b w:val="0"/>
          <w:bCs w:val="0"/>
          <w:color w:val="auto"/>
          <w:spacing w:val="11"/>
          <w:sz w:val="32"/>
          <w:szCs w:val="32"/>
          <w:highlight w:val="none"/>
          <w:lang w:val="en-US" w:eastAsia="zh-CN"/>
        </w:rPr>
        <w:t>（七）推动夯实自身建设，服务型政府深入人心。</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全面加强党的领导。</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扎</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实推进主题教育、党史学习教育走深走实，一体推进学习、调研、整改。严格落实第一议题制度，严格执行“三重一大”事项及重大问题请示报告制度，全面落实意识形态工作责任制。</w:t>
      </w:r>
      <w:r>
        <w:rPr>
          <w:rFonts w:hint="eastAsia" w:ascii="仿宋_GB2312" w:hAnsi="仿宋_GB2312" w:eastAsia="仿宋_GB2312" w:cs="仿宋_GB2312"/>
          <w:b w:val="0"/>
          <w:bCs w:val="0"/>
          <w:color w:val="auto"/>
          <w:spacing w:val="11"/>
          <w:sz w:val="32"/>
          <w:szCs w:val="32"/>
          <w:highlight w:val="none"/>
          <w:lang w:val="en-US" w:eastAsia="zh-CN"/>
        </w:rPr>
        <w:t>扎实开展深化能力作风建设“工作落实年”活动和“三航行动”再出发，</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有力</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提升政府作风建设，提高工作效率和干事激情。</w:t>
      </w:r>
      <w:r>
        <w:rPr>
          <w:rFonts w:hint="eastAsia" w:ascii="仿宋_GB2312" w:hAnsi="仿宋_GB2312" w:eastAsia="仿宋_GB2312" w:cs="仿宋_GB2312"/>
          <w:b/>
          <w:bCs/>
          <w:color w:val="auto"/>
          <w:spacing w:val="11"/>
          <w:sz w:val="32"/>
          <w:szCs w:val="32"/>
          <w:highlight w:val="none"/>
          <w:lang w:val="en-US" w:eastAsia="zh-CN"/>
        </w:rPr>
        <w:t>全力服务发展大局。</w:t>
      </w:r>
      <w:r>
        <w:rPr>
          <w:rFonts w:hint="eastAsia" w:ascii="仿宋_GB2312" w:hAnsi="仿宋_GB2312" w:eastAsia="仿宋_GB2312" w:cs="仿宋_GB2312"/>
          <w:b w:val="0"/>
          <w:bCs w:val="0"/>
          <w:color w:val="auto"/>
          <w:spacing w:val="11"/>
          <w:sz w:val="32"/>
          <w:szCs w:val="32"/>
          <w:highlight w:val="none"/>
          <w:lang w:val="en-US" w:eastAsia="zh-CN"/>
        </w:rPr>
        <w:t>通过企业包联、首席服务员、“政商沙龙”“接待日”等系列举措，强化市场主体培育，全年新增市场主体405家。26家行政职能部门、634项政务服务事项进驻大厅，即办件比例达99.84%，承诺时限压缩比例95.75%。推出“项目管家”“五步工作法”及全市首创“全程无忧领办”等服务项目，助力企业、群众高效快捷办税。</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依法依规履职尽责。</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自觉接受区人大依法监督和区政协民主监督。全区审计建议24条，促进被审计单位建立完善制度机制17项。推进政府失信违诺专项清理和“清赖行动”专项整治，偿还欠款620万元。全面开展“五经普”工作，深入开展“平安四方台”建设和“八五”普法，促进军民深度融合发展，落实双拥共建，宣传营造良好征兵氛围。此外，妇女儿童、残疾人等事业健康发展，民族宗教、外事及统计、档案史志等工作取得新成绩。</w:t>
      </w:r>
    </w:p>
    <w:p w14:paraId="3ECC8353">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仿宋_GB2312" w:hAnsi="仿宋_GB2312" w:eastAsia="仿宋_GB2312" w:cs="仿宋_GB2312"/>
          <w:i w:val="0"/>
          <w:iCs w:val="0"/>
          <w:caps w:val="0"/>
          <w:color w:val="auto"/>
          <w:spacing w:val="11"/>
          <w:kern w:val="0"/>
          <w:sz w:val="32"/>
          <w:szCs w:val="32"/>
          <w:highlight w:val="none"/>
          <w:lang w:val="en-US" w:eastAsia="zh-CN" w:bidi="ar"/>
        </w:rPr>
      </w:pPr>
      <w:r>
        <w:rPr>
          <w:rFonts w:hint="eastAsia" w:ascii="仿宋_GB2312" w:hAnsi="仿宋_GB2312" w:eastAsia="仿宋_GB2312" w:cs="仿宋_GB2312"/>
          <w:i w:val="0"/>
          <w:iCs w:val="0"/>
          <w:caps w:val="0"/>
          <w:color w:val="auto"/>
          <w:spacing w:val="11"/>
          <w:kern w:val="0"/>
          <w:sz w:val="32"/>
          <w:szCs w:val="32"/>
          <w:highlight w:val="none"/>
          <w:lang w:val="en-US" w:eastAsia="zh-CN" w:bidi="ar"/>
        </w:rPr>
        <w:t>各位代表，一年来，我们坚持不懈用习近平新时代中国特色社会主义思想武装头脑、指导实践、推动工作，全面学习、全面把握、全面落实党的二十大精神，深刻领悟“两个确立”的决定性意义，增强“四个意识”、坚定“四个自信”、做到“两个维护”，不断提高政治判断力、政治领悟力、政治执行力。主动向区人大及其常委会报告工作，向区政协通报情况，办理区人大代表议案、建议和区政协委员提案55件。深入推进党风廉政建设和反腐败斗争，严格落实中央八项规定及其实施细则精神，驰而不息纠治“四风”，大力开展“庸懒散拖”问题专项教育整治，重点领域、重要岗位廉政风险防控更严更实。</w:t>
      </w:r>
    </w:p>
    <w:p w14:paraId="40590E23">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仿宋_GB2312" w:hAnsi="仿宋_GB2312" w:eastAsia="仿宋_GB2312" w:cs="仿宋_GB2312"/>
          <w:i w:val="0"/>
          <w:iCs w:val="0"/>
          <w:caps w:val="0"/>
          <w:color w:val="auto"/>
          <w:spacing w:val="11"/>
          <w:kern w:val="0"/>
          <w:sz w:val="32"/>
          <w:szCs w:val="32"/>
          <w:highlight w:val="none"/>
          <w:lang w:val="en-US" w:eastAsia="zh-CN" w:bidi="ar"/>
        </w:rPr>
      </w:pPr>
      <w:r>
        <w:rPr>
          <w:rFonts w:hint="eastAsia" w:ascii="仿宋_GB2312" w:hAnsi="仿宋_GB2312" w:eastAsia="仿宋_GB2312" w:cs="仿宋_GB2312"/>
          <w:i w:val="0"/>
          <w:iCs w:val="0"/>
          <w:caps w:val="0"/>
          <w:color w:val="auto"/>
          <w:spacing w:val="11"/>
          <w:kern w:val="0"/>
          <w:sz w:val="32"/>
          <w:szCs w:val="32"/>
          <w:highlight w:val="none"/>
          <w:lang w:val="en-US" w:eastAsia="zh-CN" w:bidi="ar"/>
        </w:rPr>
        <w:t>回首过去的2023年，有涉滩之险，有爬坡之艰，有闯关之难，但我们在应对风险中不断成长，在艰苦奋斗中不断发展，在解决难题中不断成熟。我们深切感受到，四方台发展取得的成绩，是习近平新时代中国特色社会主义思想科学指引的结果，是党中央、省市区委坚强领导的结果，是全区干部群众付出更高工作强度，更多心血与汗水，共同奋斗的结果，是广大市场主体用心支持、用脚投票、戮力同心的结果。在这里，我代表区人民政府，向全区人民，向各位人大代表、政协委员，向奋战在前沿的工作人员，向所有为四方台发展贡献力量的每个人以及所有关心、支持四方台发展的社会各界人士，表示衷心的感谢和崇高的敬意！</w:t>
      </w:r>
    </w:p>
    <w:p w14:paraId="0E5B3BAC">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仿宋_GB2312" w:eastAsia="仿宋_GB2312" w:cs="仿宋_GB2312"/>
          <w:i w:val="0"/>
          <w:iCs w:val="0"/>
          <w:caps w:val="0"/>
          <w:color w:val="auto"/>
          <w:spacing w:val="11"/>
          <w:kern w:val="0"/>
          <w:sz w:val="32"/>
          <w:szCs w:val="32"/>
          <w:highlight w:val="none"/>
          <w:lang w:val="en-US" w:eastAsia="zh-CN" w:bidi="ar"/>
        </w:rPr>
      </w:pPr>
      <w:r>
        <w:rPr>
          <w:rFonts w:hint="eastAsia" w:ascii="仿宋_GB2312" w:hAnsi="仿宋_GB2312" w:eastAsia="仿宋_GB2312" w:cs="仿宋_GB2312"/>
          <w:i w:val="0"/>
          <w:iCs w:val="0"/>
          <w:caps w:val="0"/>
          <w:color w:val="auto"/>
          <w:spacing w:val="11"/>
          <w:kern w:val="0"/>
          <w:sz w:val="32"/>
          <w:szCs w:val="32"/>
          <w:highlight w:val="none"/>
          <w:lang w:val="en-US" w:eastAsia="zh-CN" w:bidi="ar"/>
        </w:rPr>
        <w:t>在肯定成绩的同时，我们也要清醒地看到，推进全区经济社会高质量发展还面临不少困难和挑战：</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一是</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区域经济基础较为薄弱，抵御市场价格波动、抗风险能力不足；</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二是</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招商引资竞争激烈，招大引强难度加大，缺乏产业带动和结构调整的大项目、好项目；</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三是</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民生领域还存在不少短板弱项，公共服务、民生保障、社会治理、就业供给等方面与人民群众的期待还有一定距离。对这些问题，我们必须高度重视，盯紧盯牢，认真研究解决，按时按质高效办好各项为民实事，确保如期兑现向群众作出的庄严承诺。</w:t>
      </w:r>
    </w:p>
    <w:p w14:paraId="5D59D47D">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color w:val="auto"/>
          <w:spacing w:val="11"/>
          <w:sz w:val="32"/>
          <w:szCs w:val="32"/>
          <w:highlight w:val="none"/>
        </w:rPr>
      </w:pPr>
      <w:r>
        <w:rPr>
          <w:rFonts w:hint="eastAsia" w:ascii="黑体" w:eastAsia="黑体" w:cs="黑体"/>
          <w:color w:val="auto"/>
          <w:spacing w:val="11"/>
          <w:sz w:val="32"/>
          <w:szCs w:val="32"/>
          <w:highlight w:val="none"/>
        </w:rPr>
        <w:t>二、202</w:t>
      </w:r>
      <w:r>
        <w:rPr>
          <w:rFonts w:hint="eastAsia" w:ascii="黑体" w:eastAsia="黑体" w:cs="黑体"/>
          <w:color w:val="auto"/>
          <w:spacing w:val="11"/>
          <w:sz w:val="32"/>
          <w:szCs w:val="32"/>
          <w:highlight w:val="none"/>
          <w:lang w:val="en-US" w:eastAsia="zh-CN"/>
        </w:rPr>
        <w:t>4</w:t>
      </w:r>
      <w:r>
        <w:rPr>
          <w:rFonts w:hint="eastAsia" w:ascii="黑体" w:eastAsia="黑体" w:cs="黑体"/>
          <w:color w:val="auto"/>
          <w:spacing w:val="11"/>
          <w:sz w:val="32"/>
          <w:szCs w:val="32"/>
          <w:highlight w:val="none"/>
        </w:rPr>
        <w:t>年工作安排</w:t>
      </w:r>
    </w:p>
    <w:p w14:paraId="70FEBDEA">
      <w:pPr>
        <w:keepNext w:val="0"/>
        <w:keepLines w:val="0"/>
        <w:pageBreakBefore w:val="0"/>
        <w:widowControl w:val="0"/>
        <w:kinsoku/>
        <w:wordWrap/>
        <w:overflowPunct/>
        <w:topLinePunct w:val="0"/>
        <w:autoSpaceDE/>
        <w:autoSpaceDN/>
        <w:bidi w:val="0"/>
        <w:adjustRightInd/>
        <w:snapToGrid/>
        <w:spacing w:line="592" w:lineRule="exact"/>
        <w:ind w:firstLine="684" w:firstLineChars="200"/>
        <w:jc w:val="both"/>
        <w:textAlignment w:val="auto"/>
        <w:rPr>
          <w:rFonts w:hint="eastAsia" w:ascii="黑体" w:hAnsi="黑体" w:eastAsia="黑体" w:cs="黑体"/>
          <w:color w:val="auto"/>
          <w:spacing w:val="11"/>
          <w:sz w:val="32"/>
          <w:szCs w:val="32"/>
          <w:highlight w:val="none"/>
          <w:u w:val="none" w:color="auto"/>
        </w:rPr>
      </w:pPr>
      <w:r>
        <w:rPr>
          <w:rFonts w:hint="eastAsia" w:ascii="仿宋_GB2312" w:hAnsi="仿宋_GB2312" w:eastAsia="仿宋_GB2312" w:cs="仿宋_GB2312"/>
          <w:b w:val="0"/>
          <w:bCs w:val="0"/>
          <w:color w:val="auto"/>
          <w:spacing w:val="11"/>
          <w:kern w:val="2"/>
          <w:sz w:val="32"/>
          <w:szCs w:val="32"/>
          <w:highlight w:val="none"/>
          <w:u w:val="none" w:color="auto"/>
          <w:lang w:val="en-US" w:eastAsia="zh-CN" w:bidi="ar-SA"/>
        </w:rPr>
        <w:t>2024年是全面走深走实“十四五”征程的压轴之年，也是实施乡村振兴战略见成效的关键之年。做好今年政府工作的总体要求是：</w:t>
      </w:r>
      <w:r>
        <w:rPr>
          <w:rFonts w:hint="eastAsia" w:ascii="黑体" w:hAnsi="黑体" w:eastAsia="黑体" w:cs="黑体"/>
          <w:color w:val="auto"/>
          <w:spacing w:val="11"/>
          <w:sz w:val="32"/>
          <w:szCs w:val="32"/>
          <w:highlight w:val="none"/>
          <w:u w:val="none" w:color="auto"/>
        </w:rPr>
        <w:t>坚持以习近平新时代中国特色社会主义思想为指导，深入贯彻落实习近平总书记视察黑龙江期间的重要讲话重要指示精神，全面落实党的二十大</w:t>
      </w:r>
      <w:r>
        <w:rPr>
          <w:rFonts w:hint="eastAsia" w:ascii="黑体" w:hAnsi="黑体" w:eastAsia="黑体" w:cs="黑体"/>
          <w:color w:val="auto"/>
          <w:spacing w:val="11"/>
          <w:sz w:val="32"/>
          <w:szCs w:val="32"/>
          <w:highlight w:val="none"/>
          <w:u w:val="none" w:color="auto"/>
          <w:lang w:val="en-US" w:eastAsia="zh-CN"/>
        </w:rPr>
        <w:t>精神</w:t>
      </w:r>
      <w:r>
        <w:rPr>
          <w:rFonts w:hint="eastAsia" w:ascii="黑体" w:hAnsi="黑体" w:eastAsia="黑体" w:cs="黑体"/>
          <w:color w:val="auto"/>
          <w:spacing w:val="11"/>
          <w:sz w:val="32"/>
          <w:szCs w:val="32"/>
          <w:highlight w:val="none"/>
          <w:u w:val="none" w:color="auto"/>
        </w:rPr>
        <w:t>和中央经济工作会议、中央农村工作会议精神，按照省委十三届五次</w:t>
      </w:r>
      <w:r>
        <w:rPr>
          <w:rFonts w:hint="eastAsia" w:ascii="黑体" w:hAnsi="黑体" w:eastAsia="黑体" w:cs="黑体"/>
          <w:color w:val="auto"/>
          <w:spacing w:val="11"/>
          <w:sz w:val="32"/>
          <w:szCs w:val="32"/>
          <w:highlight w:val="none"/>
          <w:u w:val="none" w:color="auto"/>
          <w:lang w:eastAsia="zh-CN"/>
        </w:rPr>
        <w:t>全会</w:t>
      </w:r>
      <w:r>
        <w:rPr>
          <w:rFonts w:hint="eastAsia" w:ascii="黑体" w:hAnsi="黑体" w:eastAsia="黑体" w:cs="黑体"/>
          <w:color w:val="auto"/>
          <w:spacing w:val="11"/>
          <w:sz w:val="32"/>
          <w:szCs w:val="32"/>
          <w:highlight w:val="none"/>
          <w:u w:val="none" w:color="auto"/>
        </w:rPr>
        <w:t>暨省委经济工作会议、市委十二届五次</w:t>
      </w:r>
      <w:r>
        <w:rPr>
          <w:rFonts w:hint="eastAsia" w:ascii="黑体" w:hAnsi="黑体" w:eastAsia="黑体" w:cs="黑体"/>
          <w:color w:val="auto"/>
          <w:spacing w:val="11"/>
          <w:sz w:val="32"/>
          <w:szCs w:val="32"/>
          <w:highlight w:val="none"/>
          <w:u w:val="none" w:color="auto"/>
          <w:lang w:eastAsia="zh-CN"/>
        </w:rPr>
        <w:t>全会</w:t>
      </w:r>
      <w:r>
        <w:rPr>
          <w:rFonts w:hint="eastAsia" w:ascii="黑体" w:hAnsi="黑体" w:eastAsia="黑体" w:cs="黑体"/>
          <w:color w:val="auto"/>
          <w:spacing w:val="11"/>
          <w:sz w:val="32"/>
          <w:szCs w:val="32"/>
          <w:highlight w:val="none"/>
          <w:u w:val="none" w:color="auto"/>
        </w:rPr>
        <w:t>暨市委经济工作会议、区第十一次党代会要求部署，坚持党的全面领导，坚持稳中求进、以进促稳、先立后破，完整、准确、全面贯彻新发展理念，服务和融入构建新发展格局，坚持把推进中国式现代化作为最大的政治，</w:t>
      </w:r>
      <w:r>
        <w:rPr>
          <w:rFonts w:hint="eastAsia" w:ascii="黑体" w:hAnsi="黑体" w:eastAsia="黑体" w:cs="黑体"/>
          <w:color w:val="auto"/>
          <w:spacing w:val="11"/>
          <w:sz w:val="32"/>
          <w:szCs w:val="32"/>
          <w:highlight w:val="none"/>
          <w:u w:val="none" w:color="auto"/>
          <w:lang w:val="en-US" w:eastAsia="zh-CN"/>
        </w:rPr>
        <w:t>坚决维护“五大安全”，</w:t>
      </w:r>
      <w:r>
        <w:rPr>
          <w:rFonts w:hint="eastAsia" w:ascii="黑体" w:hAnsi="黑体" w:eastAsia="黑体" w:cs="黑体"/>
          <w:color w:val="auto"/>
          <w:spacing w:val="11"/>
          <w:sz w:val="32"/>
          <w:szCs w:val="32"/>
          <w:highlight w:val="none"/>
          <w:u w:val="none" w:color="auto"/>
        </w:rPr>
        <w:t>围绕高质量发展、可持续振兴主题，以培育壮大“六大主导产业”和实现“三个转变”为目标，以“六个四”实施路径为抓手，锚定六个全面振兴发展目标，重点实施“六个行动”，统筹扩大内需和深化供给侧结构性改革，统筹新型城镇化和乡村全面振兴，统筹高质量发展和高水平安全，构建具有四方台特色的现代产业体系，切实增强经济活力、防范化解风险、改善社会预期，深入推进改革扩大开放，全力优化营商环境，增进民生福祉，保持社会稳定，推进全面从严治党，奋力谱写建设现代化四方台新篇章</w:t>
      </w:r>
      <w:r>
        <w:rPr>
          <w:rFonts w:hint="eastAsia" w:ascii="黑体" w:hAnsi="黑体" w:eastAsia="黑体" w:cs="黑体"/>
          <w:color w:val="auto"/>
          <w:spacing w:val="11"/>
          <w:sz w:val="32"/>
          <w:szCs w:val="32"/>
          <w:highlight w:val="none"/>
          <w:u w:val="none" w:color="auto"/>
          <w:lang w:eastAsia="zh-CN"/>
        </w:rPr>
        <w:t>！</w:t>
      </w:r>
    </w:p>
    <w:p w14:paraId="31B55080">
      <w:pPr>
        <w:pStyle w:val="26"/>
        <w:keepNext w:val="0"/>
        <w:keepLines w:val="0"/>
        <w:pageBreakBefore w:val="0"/>
        <w:widowControl w:val="0"/>
        <w:kinsoku/>
        <w:wordWrap/>
        <w:overflowPunct/>
        <w:autoSpaceDE/>
        <w:autoSpaceDN/>
        <w:bidi w:val="0"/>
        <w:adjustRightInd/>
        <w:spacing w:line="592" w:lineRule="exact"/>
        <w:ind w:left="0" w:leftChars="0" w:firstLine="684" w:firstLineChars="200"/>
        <w:jc w:val="both"/>
        <w:rPr>
          <w:rFonts w:hint="eastAsia" w:ascii="黑体" w:eastAsia="黑体" w:cs="黑体"/>
          <w:color w:val="auto"/>
          <w:spacing w:val="11"/>
          <w:sz w:val="32"/>
          <w:szCs w:val="32"/>
          <w:highlight w:val="none"/>
          <w:lang w:val="en-US" w:eastAsia="zh-CN"/>
        </w:rPr>
      </w:pPr>
      <w:r>
        <w:rPr>
          <w:rFonts w:hint="eastAsia" w:ascii="仿宋_GB2312" w:eastAsia="仿宋_GB2312" w:cs="仿宋"/>
          <w:color w:val="auto"/>
          <w:spacing w:val="11"/>
          <w:sz w:val="32"/>
          <w:szCs w:val="32"/>
          <w:highlight w:val="none"/>
          <w:lang w:val="en-US" w:eastAsia="zh-CN"/>
        </w:rPr>
        <w:t>2024年，</w:t>
      </w:r>
      <w:r>
        <w:rPr>
          <w:rFonts w:hint="eastAsia" w:ascii="仿宋_GB2312" w:eastAsia="仿宋_GB2312" w:cs="仿宋"/>
          <w:color w:val="auto"/>
          <w:spacing w:val="11"/>
          <w:sz w:val="32"/>
          <w:szCs w:val="32"/>
          <w:highlight w:val="none"/>
        </w:rPr>
        <w:t>全区经济社会发展主要预期目标是：</w:t>
      </w:r>
      <w:r>
        <w:rPr>
          <w:rFonts w:hint="eastAsia" w:ascii="黑体" w:eastAsia="黑体" w:cs="黑体"/>
          <w:color w:val="auto"/>
          <w:spacing w:val="11"/>
          <w:sz w:val="32"/>
          <w:szCs w:val="32"/>
          <w:highlight w:val="none"/>
        </w:rPr>
        <w:t>地区生产总值增长</w:t>
      </w:r>
      <w:r>
        <w:rPr>
          <w:rFonts w:hint="eastAsia" w:ascii="黑体" w:eastAsia="黑体" w:cs="黑体"/>
          <w:color w:val="auto"/>
          <w:spacing w:val="11"/>
          <w:sz w:val="32"/>
          <w:szCs w:val="32"/>
          <w:highlight w:val="none"/>
          <w:lang w:val="en-US" w:eastAsia="zh-CN"/>
        </w:rPr>
        <w:t>5.5</w:t>
      </w:r>
      <w:r>
        <w:rPr>
          <w:rFonts w:hint="eastAsia" w:ascii="黑体" w:eastAsia="黑体" w:cs="黑体"/>
          <w:color w:val="auto"/>
          <w:spacing w:val="11"/>
          <w:sz w:val="32"/>
          <w:szCs w:val="32"/>
          <w:highlight w:val="none"/>
        </w:rPr>
        <w:t>%</w:t>
      </w:r>
      <w:r>
        <w:rPr>
          <w:rFonts w:hint="eastAsia" w:ascii="黑体" w:eastAsia="黑体" w:cs="黑体"/>
          <w:color w:val="auto"/>
          <w:spacing w:val="11"/>
          <w:sz w:val="32"/>
          <w:szCs w:val="32"/>
          <w:highlight w:val="none"/>
          <w:lang w:val="en-US" w:eastAsia="zh-CN"/>
        </w:rPr>
        <w:t>左右</w:t>
      </w:r>
      <w:r>
        <w:rPr>
          <w:rFonts w:hint="eastAsia" w:ascii="黑体" w:eastAsia="黑体" w:cs="黑体"/>
          <w:color w:val="auto"/>
          <w:spacing w:val="11"/>
          <w:sz w:val="32"/>
          <w:szCs w:val="32"/>
          <w:highlight w:val="none"/>
        </w:rPr>
        <w:t>，农林牧渔总产值增长</w:t>
      </w:r>
      <w:r>
        <w:rPr>
          <w:rFonts w:hint="eastAsia" w:ascii="黑体" w:eastAsia="黑体" w:cs="黑体"/>
          <w:color w:val="auto"/>
          <w:spacing w:val="11"/>
          <w:sz w:val="32"/>
          <w:szCs w:val="32"/>
          <w:highlight w:val="none"/>
          <w:lang w:val="en-US" w:eastAsia="zh-CN"/>
        </w:rPr>
        <w:t>4</w:t>
      </w:r>
      <w:r>
        <w:rPr>
          <w:rFonts w:hint="eastAsia" w:ascii="黑体" w:eastAsia="黑体" w:cs="黑体"/>
          <w:color w:val="auto"/>
          <w:spacing w:val="11"/>
          <w:sz w:val="32"/>
          <w:szCs w:val="32"/>
          <w:highlight w:val="none"/>
        </w:rPr>
        <w:t>%，规模以上工业增加值增长</w:t>
      </w:r>
      <w:r>
        <w:rPr>
          <w:rFonts w:hint="eastAsia" w:ascii="黑体" w:eastAsia="黑体" w:cs="黑体"/>
          <w:color w:val="auto"/>
          <w:spacing w:val="11"/>
          <w:sz w:val="32"/>
          <w:szCs w:val="32"/>
          <w:highlight w:val="none"/>
          <w:lang w:val="en-US" w:eastAsia="zh-CN"/>
        </w:rPr>
        <w:t>6</w:t>
      </w:r>
      <w:r>
        <w:rPr>
          <w:rFonts w:hint="eastAsia" w:ascii="黑体" w:eastAsia="黑体" w:cs="黑体"/>
          <w:color w:val="auto"/>
          <w:spacing w:val="11"/>
          <w:sz w:val="32"/>
          <w:szCs w:val="32"/>
          <w:highlight w:val="none"/>
        </w:rPr>
        <w:t>%，固定资产投资增长</w:t>
      </w:r>
      <w:r>
        <w:rPr>
          <w:rFonts w:hint="eastAsia" w:ascii="黑体" w:eastAsia="黑体" w:cs="黑体"/>
          <w:color w:val="auto"/>
          <w:spacing w:val="11"/>
          <w:sz w:val="32"/>
          <w:szCs w:val="32"/>
          <w:highlight w:val="none"/>
          <w:lang w:val="en-US" w:eastAsia="zh-CN"/>
        </w:rPr>
        <w:t>7</w:t>
      </w:r>
      <w:r>
        <w:rPr>
          <w:rFonts w:hint="eastAsia" w:ascii="黑体" w:eastAsia="黑体" w:cs="黑体"/>
          <w:color w:val="auto"/>
          <w:spacing w:val="11"/>
          <w:sz w:val="32"/>
          <w:szCs w:val="32"/>
          <w:highlight w:val="none"/>
        </w:rPr>
        <w:t>%，一般公共预算收入增长</w:t>
      </w:r>
      <w:r>
        <w:rPr>
          <w:rFonts w:hint="eastAsia" w:ascii="黑体" w:eastAsia="黑体" w:cs="黑体"/>
          <w:color w:val="auto"/>
          <w:spacing w:val="11"/>
          <w:sz w:val="32"/>
          <w:szCs w:val="32"/>
          <w:highlight w:val="none"/>
          <w:lang w:val="en-US" w:eastAsia="zh-CN"/>
        </w:rPr>
        <w:t>11</w:t>
      </w:r>
      <w:r>
        <w:rPr>
          <w:rFonts w:hint="eastAsia" w:ascii="黑体" w:eastAsia="黑体" w:cs="黑体"/>
          <w:color w:val="auto"/>
          <w:spacing w:val="11"/>
          <w:sz w:val="32"/>
          <w:szCs w:val="32"/>
          <w:highlight w:val="none"/>
        </w:rPr>
        <w:t>%，社会消费品零售总额增长</w:t>
      </w:r>
      <w:r>
        <w:rPr>
          <w:rFonts w:hint="eastAsia" w:ascii="黑体" w:eastAsia="黑体" w:cs="黑体"/>
          <w:color w:val="auto"/>
          <w:spacing w:val="11"/>
          <w:sz w:val="32"/>
          <w:szCs w:val="32"/>
          <w:highlight w:val="none"/>
          <w:lang w:val="en-US" w:eastAsia="zh-CN"/>
        </w:rPr>
        <w:t>6.5</w:t>
      </w:r>
      <w:r>
        <w:rPr>
          <w:rFonts w:hint="eastAsia" w:ascii="黑体" w:eastAsia="黑体" w:cs="黑体"/>
          <w:color w:val="auto"/>
          <w:spacing w:val="11"/>
          <w:sz w:val="32"/>
          <w:szCs w:val="32"/>
          <w:highlight w:val="none"/>
        </w:rPr>
        <w:t>%，外贸进出口总值增长</w:t>
      </w:r>
      <w:r>
        <w:rPr>
          <w:rFonts w:hint="eastAsia" w:ascii="黑体" w:eastAsia="黑体" w:cs="黑体"/>
          <w:color w:val="auto"/>
          <w:spacing w:val="11"/>
          <w:sz w:val="32"/>
          <w:szCs w:val="32"/>
          <w:highlight w:val="none"/>
          <w:lang w:val="en-US" w:eastAsia="zh-CN"/>
        </w:rPr>
        <w:t>10</w:t>
      </w:r>
      <w:r>
        <w:rPr>
          <w:rFonts w:hint="eastAsia" w:ascii="黑体" w:eastAsia="黑体" w:cs="黑体"/>
          <w:color w:val="auto"/>
          <w:spacing w:val="11"/>
          <w:sz w:val="32"/>
          <w:szCs w:val="32"/>
          <w:highlight w:val="none"/>
        </w:rPr>
        <w:t>%，城乡居民收入与经济增长基本同步。</w:t>
      </w:r>
    </w:p>
    <w:p w14:paraId="4791F305">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eastAsia="仿宋_GB2312" w:cs="仿宋_GB2312"/>
          <w:color w:val="auto"/>
          <w:spacing w:val="11"/>
          <w:sz w:val="32"/>
          <w:szCs w:val="32"/>
          <w:highlight w:val="none"/>
          <w:lang w:val="en-US" w:eastAsia="zh-CN"/>
        </w:rPr>
      </w:pPr>
      <w:r>
        <w:rPr>
          <w:rFonts w:hint="eastAsia" w:ascii="仿宋_GB2312" w:eastAsia="仿宋_GB2312" w:cs="仿宋_GB2312"/>
          <w:color w:val="auto"/>
          <w:spacing w:val="11"/>
          <w:sz w:val="32"/>
          <w:szCs w:val="32"/>
          <w:highlight w:val="none"/>
          <w:lang w:val="en-US" w:eastAsia="zh-CN"/>
        </w:rPr>
        <w:t>为实现上述目标，我们必须撸起袖子加油干、风雨无阻向前行，努力实现经济社会高质量发展。重点抓好八个方面工作：</w:t>
      </w:r>
    </w:p>
    <w:p w14:paraId="62FD3BBF">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楷体_GB2312" w:eastAsia="楷体_GB2312" w:cs="楷体_GB2312"/>
          <w:color w:val="auto"/>
          <w:spacing w:val="11"/>
          <w:sz w:val="32"/>
          <w:szCs w:val="32"/>
          <w:highlight w:val="none"/>
          <w:lang w:eastAsia="zh-CN"/>
        </w:rPr>
        <w:t>（一）坚持</w:t>
      </w:r>
      <w:r>
        <w:rPr>
          <w:rFonts w:hint="eastAsia" w:ascii="楷体_GB2312" w:eastAsia="楷体_GB2312" w:cs="楷体_GB2312"/>
          <w:color w:val="auto"/>
          <w:spacing w:val="11"/>
          <w:sz w:val="32"/>
          <w:szCs w:val="32"/>
          <w:highlight w:val="none"/>
          <w:lang w:val="en-US" w:eastAsia="zh-CN"/>
        </w:rPr>
        <w:t>主攻</w:t>
      </w:r>
      <w:r>
        <w:rPr>
          <w:rFonts w:hint="eastAsia" w:ascii="楷体_GB2312" w:eastAsia="楷体_GB2312" w:cs="楷体_GB2312"/>
          <w:color w:val="auto"/>
          <w:spacing w:val="11"/>
          <w:sz w:val="32"/>
          <w:szCs w:val="32"/>
          <w:highlight w:val="none"/>
          <w:lang w:eastAsia="zh-CN"/>
        </w:rPr>
        <w:t>项目、</w:t>
      </w:r>
      <w:r>
        <w:rPr>
          <w:rFonts w:hint="eastAsia" w:ascii="楷体_GB2312" w:eastAsia="楷体_GB2312" w:cs="楷体_GB2312"/>
          <w:color w:val="auto"/>
          <w:spacing w:val="11"/>
          <w:sz w:val="32"/>
          <w:szCs w:val="32"/>
          <w:highlight w:val="none"/>
          <w:lang w:val="en-US" w:eastAsia="zh-CN"/>
        </w:rPr>
        <w:t>精心</w:t>
      </w:r>
      <w:r>
        <w:rPr>
          <w:rFonts w:hint="eastAsia" w:ascii="楷体_GB2312" w:eastAsia="楷体_GB2312" w:cs="楷体_GB2312"/>
          <w:color w:val="auto"/>
          <w:spacing w:val="11"/>
          <w:sz w:val="32"/>
          <w:szCs w:val="32"/>
          <w:highlight w:val="none"/>
          <w:lang w:eastAsia="zh-CN"/>
        </w:rPr>
        <w:t>服务，夯实区域发展坚实支撑。</w:t>
      </w:r>
      <w:r>
        <w:rPr>
          <w:rFonts w:hint="eastAsia" w:ascii="仿宋_GB2312" w:hAnsi="仿宋_GB2312" w:eastAsia="仿宋_GB2312" w:cs="仿宋_GB2312"/>
          <w:color w:val="auto"/>
          <w:spacing w:val="11"/>
          <w:sz w:val="32"/>
          <w:szCs w:val="32"/>
          <w:highlight w:val="none"/>
          <w:lang w:eastAsia="zh-CN"/>
        </w:rPr>
        <w:t>坚定不移把项目建设和企业发展作为经济工作的重中之重，强化要素保障，提振市场信心，稳住区域经济基本盘，</w:t>
      </w:r>
      <w:r>
        <w:rPr>
          <w:rFonts w:hint="eastAsia" w:ascii="仿宋_GB2312" w:hAnsi="仿宋_GB2312" w:eastAsia="仿宋_GB2312" w:cs="仿宋_GB2312"/>
          <w:color w:val="auto"/>
          <w:spacing w:val="11"/>
          <w:sz w:val="32"/>
          <w:szCs w:val="32"/>
          <w:highlight w:val="none"/>
          <w:lang w:val="en-US" w:eastAsia="zh-CN"/>
        </w:rPr>
        <w:t>夯实晋位</w:t>
      </w:r>
      <w:r>
        <w:rPr>
          <w:rFonts w:hint="eastAsia" w:ascii="仿宋_GB2312" w:hAnsi="仿宋_GB2312" w:eastAsia="仿宋_GB2312" w:cs="仿宋_GB2312"/>
          <w:color w:val="auto"/>
          <w:spacing w:val="11"/>
          <w:sz w:val="32"/>
          <w:szCs w:val="32"/>
          <w:highlight w:val="none"/>
          <w:lang w:eastAsia="zh-CN"/>
        </w:rPr>
        <w:t>赶超硬实力。</w:t>
      </w:r>
      <w:r>
        <w:rPr>
          <w:rFonts w:hint="eastAsia" w:ascii="仿宋_GB2312" w:hAnsi="仿宋_GB2312" w:eastAsia="仿宋_GB2312" w:cs="仿宋_GB2312"/>
          <w:b/>
          <w:bCs/>
          <w:color w:val="auto"/>
          <w:spacing w:val="11"/>
          <w:sz w:val="32"/>
          <w:szCs w:val="32"/>
          <w:highlight w:val="none"/>
          <w:lang w:val="en-US" w:eastAsia="zh-CN"/>
        </w:rPr>
        <w:t>全力攻坚项目建设。</w:t>
      </w:r>
      <w:r>
        <w:rPr>
          <w:rFonts w:hint="eastAsia" w:ascii="仿宋_GB2312" w:hAnsi="仿宋_GB2312" w:eastAsia="仿宋_GB2312" w:cs="仿宋_GB2312"/>
          <w:color w:val="auto"/>
          <w:spacing w:val="11"/>
          <w:sz w:val="32"/>
          <w:szCs w:val="32"/>
          <w:highlight w:val="none"/>
          <w:lang w:val="en-US" w:eastAsia="zh-CN"/>
        </w:rPr>
        <w:t>以乡村振兴衔接资金作为产业引导资金，挖掘特色产业发展，壮大农业经济基本盘。以乡村振兴项目为杠杆，带动“三农”领域投资扩张，谋划引进外埠企业，投建果蔬种植及深加工项目，开发订单农业。同时继续加大黏玉米、高钙果、肉驴等农产品加工扶持力度。</w:t>
      </w:r>
      <w:r>
        <w:rPr>
          <w:rFonts w:hint="eastAsia" w:ascii="仿宋_GB2312" w:hAnsi="仿宋_GB2312" w:eastAsia="仿宋_GB2312" w:cs="仿宋_GB2312"/>
          <w:b/>
          <w:bCs/>
          <w:color w:val="auto"/>
          <w:spacing w:val="11"/>
          <w:sz w:val="32"/>
          <w:szCs w:val="32"/>
          <w:highlight w:val="none"/>
          <w:lang w:val="en-US" w:eastAsia="zh-CN"/>
        </w:rPr>
        <w:t>全力引导资源循环。</w:t>
      </w:r>
      <w:r>
        <w:rPr>
          <w:rFonts w:hint="eastAsia" w:ascii="仿宋_GB2312" w:hAnsi="仿宋_GB2312" w:eastAsia="仿宋_GB2312" w:cs="仿宋_GB2312"/>
          <w:color w:val="auto"/>
          <w:spacing w:val="11"/>
          <w:sz w:val="32"/>
          <w:szCs w:val="32"/>
          <w:highlight w:val="none"/>
          <w:lang w:val="en-US" w:eastAsia="zh-CN"/>
        </w:rPr>
        <w:t>加快推进伟明余热利用、废旧电器拆解、低热值建材制造项目落地，加快生活垃圾焚烧炉渣综合利用、废旧轮胎综合处理项目建设进度，力争以上项目尽快落地达产。通过申请中央预算内投资、地方政府专项债券资金，积极对上申报项目，持续加大政府投资力度，不断提升市政设施服务和供应保障能力。</w:t>
      </w:r>
      <w:r>
        <w:rPr>
          <w:rFonts w:hint="eastAsia" w:ascii="仿宋_GB2312" w:hAnsi="仿宋_GB2312" w:eastAsia="仿宋_GB2312" w:cs="仿宋_GB2312"/>
          <w:b/>
          <w:bCs/>
          <w:color w:val="auto"/>
          <w:spacing w:val="11"/>
          <w:sz w:val="32"/>
          <w:szCs w:val="32"/>
          <w:highlight w:val="none"/>
          <w:lang w:val="en-US" w:eastAsia="zh-CN"/>
        </w:rPr>
        <w:t>全力服务企业发展。</w:t>
      </w:r>
      <w:r>
        <w:rPr>
          <w:rFonts w:hint="eastAsia" w:ascii="仿宋_GB2312" w:hAnsi="仿宋_GB2312" w:eastAsia="仿宋_GB2312" w:cs="仿宋_GB2312"/>
          <w:color w:val="auto"/>
          <w:spacing w:val="11"/>
          <w:sz w:val="32"/>
          <w:szCs w:val="32"/>
          <w:highlight w:val="none"/>
          <w:lang w:val="en-US" w:eastAsia="zh-CN"/>
        </w:rPr>
        <w:t>树立关心支持企业的鲜明导向，深化“服务企业·伴企成长”工作机制，一企一策助力企业发展。帮助盛安民爆扩大市场占有率，解决华东橡胶炭黑项目融资问题，指导墨砾新材料申报数字化（智能）车间和专精特新企业。帮助煦恒供热企业提升热费收缴率。力争实现煦恒供热、双吉煤矿、龙冶科技等企业入规。</w:t>
      </w:r>
      <w:r>
        <w:rPr>
          <w:rFonts w:hint="eastAsia" w:ascii="仿宋_GB2312" w:hAnsi="仿宋_GB2312" w:eastAsia="仿宋_GB2312" w:cs="仿宋_GB2312"/>
          <w:b/>
          <w:bCs/>
          <w:color w:val="auto"/>
          <w:spacing w:val="11"/>
          <w:sz w:val="32"/>
          <w:szCs w:val="32"/>
          <w:highlight w:val="none"/>
          <w:lang w:val="en-US" w:eastAsia="zh-CN"/>
        </w:rPr>
        <w:t>全力挖掘企业潜力。</w:t>
      </w:r>
      <w:r>
        <w:rPr>
          <w:rFonts w:hint="eastAsia" w:ascii="仿宋_GB2312" w:hAnsi="仿宋_GB2312" w:eastAsia="仿宋_GB2312" w:cs="仿宋_GB2312"/>
          <w:color w:val="auto"/>
          <w:spacing w:val="11"/>
          <w:sz w:val="32"/>
          <w:szCs w:val="32"/>
          <w:highlight w:val="none"/>
          <w:lang w:val="en-US" w:eastAsia="zh-CN"/>
        </w:rPr>
        <w:t>围绕伟明垃圾和渗滤液处理等营利性服务事项，成立限上企业。引导退规企业众鑫粮油及时转型，由规上工业企业调整为限上批发头部企业，拉动区内三产增值。谋划推动黏玉米加工、肉驴养殖加工等成长为限上大个体企业，有效增加限上企业数量。</w:t>
      </w:r>
    </w:p>
    <w:p w14:paraId="5AFE8171">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default" w:ascii="仿宋_GB2312" w:hAnsi="仿宋_GB2312" w:eastAsia="仿宋_GB2312" w:cs="仿宋_GB2312"/>
          <w:color w:val="auto"/>
          <w:spacing w:val="11"/>
          <w:sz w:val="32"/>
          <w:szCs w:val="32"/>
          <w:highlight w:val="none"/>
          <w:lang w:val="en-US" w:eastAsia="zh-CN"/>
        </w:rPr>
      </w:pPr>
      <w:r>
        <w:rPr>
          <w:rFonts w:hint="eastAsia" w:ascii="楷体_GB2312" w:eastAsia="楷体_GB2312" w:cs="楷体_GB2312"/>
          <w:color w:val="auto"/>
          <w:spacing w:val="11"/>
          <w:sz w:val="32"/>
          <w:szCs w:val="32"/>
          <w:highlight w:val="none"/>
          <w:lang w:eastAsia="zh-CN"/>
        </w:rPr>
        <w:t>（二）坚持链式培育、科技赋能，推动新兴工业加速崛起。</w:t>
      </w:r>
      <w:r>
        <w:rPr>
          <w:rFonts w:hint="eastAsia" w:ascii="仿宋_GB2312" w:hAnsi="仿宋_GB2312" w:eastAsia="仿宋_GB2312" w:cs="仿宋_GB2312"/>
          <w:color w:val="auto"/>
          <w:spacing w:val="11"/>
          <w:sz w:val="32"/>
          <w:szCs w:val="32"/>
          <w:highlight w:val="none"/>
          <w:lang w:val="en-US" w:eastAsia="zh-CN"/>
        </w:rPr>
        <w:t>以绿色低碳高质量发展为主攻方向，打好产业培育、平台升级、数智创新“组合拳”，全力培育完整度高、创新力足、竞争力强的先进产业集群。</w:t>
      </w:r>
      <w:r>
        <w:rPr>
          <w:rFonts w:hint="eastAsia" w:ascii="仿宋_GB2312" w:hAnsi="仿宋_GB2312" w:eastAsia="仿宋_GB2312" w:cs="仿宋_GB2312"/>
          <w:b/>
          <w:bCs/>
          <w:color w:val="auto"/>
          <w:spacing w:val="11"/>
          <w:sz w:val="32"/>
          <w:szCs w:val="32"/>
          <w:highlight w:val="none"/>
          <w:lang w:val="en-US" w:eastAsia="zh-CN"/>
        </w:rPr>
        <w:t>突出产业集群发展。</w:t>
      </w:r>
      <w:r>
        <w:rPr>
          <w:rFonts w:hint="eastAsia" w:ascii="仿宋_GB2312" w:hAnsi="仿宋_GB2312" w:eastAsia="仿宋_GB2312" w:cs="仿宋_GB2312"/>
          <w:color w:val="auto"/>
          <w:spacing w:val="11"/>
          <w:sz w:val="32"/>
          <w:szCs w:val="32"/>
          <w:highlight w:val="none"/>
          <w:lang w:val="en-US" w:eastAsia="zh-CN"/>
        </w:rPr>
        <w:t>以拓宽新领域为主要招商目标，依托循环经济产业园区规划内容，明确重点招商引资方向，充分发挥园区经济发展主战场、先锋队、排头兵作用，择优招引投资强度大、亩均效益好、科技含量高、资源环保节约型的优质延链项目，发挥园区聚合作用，提高新兴产业集聚度，助推区域经济高质量发展。</w:t>
      </w:r>
      <w:r>
        <w:rPr>
          <w:rFonts w:hint="eastAsia" w:ascii="仿宋_GB2312" w:hAnsi="仿宋_GB2312" w:eastAsia="仿宋_GB2312" w:cs="仿宋_GB2312"/>
          <w:b/>
          <w:bCs/>
          <w:color w:val="auto"/>
          <w:spacing w:val="11"/>
          <w:sz w:val="32"/>
          <w:szCs w:val="32"/>
          <w:highlight w:val="none"/>
          <w:lang w:val="en-US" w:eastAsia="zh-CN"/>
        </w:rPr>
        <w:t>突出新兴产业壮大。</w:t>
      </w:r>
      <w:r>
        <w:rPr>
          <w:rFonts w:hint="eastAsia" w:ascii="仿宋_GB2312" w:hAnsi="仿宋_GB2312" w:eastAsia="仿宋_GB2312" w:cs="仿宋_GB2312"/>
          <w:color w:val="auto"/>
          <w:spacing w:val="11"/>
          <w:sz w:val="32"/>
          <w:szCs w:val="32"/>
          <w:highlight w:val="none"/>
          <w:lang w:val="en-US" w:eastAsia="zh-CN"/>
        </w:rPr>
        <w:t>积极培育新能源、新材料等战略性新兴产业，加快发展风电、垃圾焚烧发电等清洁能源，推进中广核（杨木岗）风电充分释放产能，伟明生活垃圾焚烧发电项目提能扩产；壮大新材料产业，重点推进墨砾石墨产业项目运营提质增效。</w:t>
      </w:r>
      <w:r>
        <w:rPr>
          <w:rFonts w:hint="eastAsia" w:ascii="仿宋_GB2312" w:hAnsi="仿宋_GB2312" w:eastAsia="仿宋_GB2312" w:cs="仿宋_GB2312"/>
          <w:b/>
          <w:bCs/>
          <w:color w:val="auto"/>
          <w:spacing w:val="11"/>
          <w:sz w:val="32"/>
          <w:szCs w:val="32"/>
          <w:highlight w:val="none"/>
          <w:lang w:val="en-US" w:eastAsia="zh-CN"/>
        </w:rPr>
        <w:t>突出临规企业培育。</w:t>
      </w:r>
      <w:r>
        <w:rPr>
          <w:rFonts w:hint="eastAsia" w:ascii="仿宋_GB2312" w:hAnsi="仿宋_GB2312" w:eastAsia="仿宋_GB2312" w:cs="仿宋_GB2312"/>
          <w:color w:val="auto"/>
          <w:spacing w:val="11"/>
          <w:sz w:val="32"/>
          <w:szCs w:val="32"/>
          <w:highlight w:val="none"/>
          <w:lang w:val="en-US" w:eastAsia="zh-CN"/>
        </w:rPr>
        <w:t>协调矿电、国电为龙冶装备制造提供双路供电，确保企业尽快达产入规。协调对接市级部门和伟明垃圾焚烧发电项目，对梨花沟垃圾填埋场堆体进行资源化利用，同时协调周边县区，将域内垃圾转运伟明充分利用，解决企业垃圾燃烧原料供应不足问题。</w:t>
      </w:r>
    </w:p>
    <w:p w14:paraId="79C53453">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jc w:val="both"/>
        <w:textAlignment w:val="auto"/>
        <w:outlineLvl w:val="9"/>
        <w:rPr>
          <w:rFonts w:hint="eastAsia" w:ascii="仿宋_GB2312" w:hAnsi="仿宋_GB2312" w:eastAsia="仿宋_GB2312" w:cs="仿宋_GB2312"/>
          <w:color w:val="auto"/>
          <w:spacing w:val="11"/>
          <w:sz w:val="32"/>
          <w:szCs w:val="32"/>
          <w:highlight w:val="none"/>
          <w:lang w:val="en-US" w:eastAsia="zh-CN"/>
        </w:rPr>
      </w:pPr>
      <w:r>
        <w:rPr>
          <w:rFonts w:hint="eastAsia" w:ascii="楷体_GB2312" w:eastAsia="楷体_GB2312" w:cs="楷体_GB2312"/>
          <w:color w:val="auto"/>
          <w:spacing w:val="11"/>
          <w:sz w:val="32"/>
          <w:szCs w:val="32"/>
          <w:highlight w:val="none"/>
          <w:lang w:val="en-US" w:eastAsia="zh-CN"/>
        </w:rPr>
        <w:t>（三）坚持产业发展、结构优化，直击经济强区目标关键。</w:t>
      </w:r>
      <w:r>
        <w:rPr>
          <w:rFonts w:hint="default" w:ascii="仿宋_GB2312" w:hAnsi="仿宋_GB2312" w:eastAsia="仿宋_GB2312" w:cs="仿宋_GB2312"/>
          <w:color w:val="auto"/>
          <w:spacing w:val="11"/>
          <w:sz w:val="32"/>
          <w:szCs w:val="32"/>
          <w:highlight w:val="none"/>
          <w:lang w:val="en-US" w:eastAsia="zh-CN"/>
        </w:rPr>
        <w:t>聚焦省委构建“4567”现代化产业体系，市委建强“四大基地”目标要求，围绕全面高质量发展、可持续振兴这一主线，不断优化全区产业结构，加快构建具有四方台特色优势的现代化产业体系。</w:t>
      </w:r>
      <w:r>
        <w:rPr>
          <w:rFonts w:hint="eastAsia" w:ascii="仿宋_GB2312" w:hAnsi="仿宋_GB2312" w:eastAsia="仿宋_GB2312" w:cs="仿宋_GB2312"/>
          <w:b/>
          <w:bCs/>
          <w:color w:val="auto"/>
          <w:spacing w:val="11"/>
          <w:sz w:val="32"/>
          <w:szCs w:val="32"/>
          <w:highlight w:val="none"/>
          <w:lang w:val="en-US" w:eastAsia="zh-CN"/>
        </w:rPr>
        <w:t>加快煤炭产能释放。</w:t>
      </w:r>
      <w:r>
        <w:rPr>
          <w:rFonts w:hint="eastAsia" w:ascii="仿宋_GB2312" w:hAnsi="仿宋_GB2312" w:eastAsia="仿宋_GB2312" w:cs="仿宋_GB2312"/>
          <w:color w:val="auto"/>
          <w:spacing w:val="11"/>
          <w:sz w:val="32"/>
          <w:szCs w:val="32"/>
          <w:highlight w:val="none"/>
          <w:lang w:val="en-US" w:eastAsia="zh-CN"/>
        </w:rPr>
        <w:t>以数字化矿山建设为引领，抓好在建煤矿投产和地方煤矿升级改造，加快双吉、东方、顺兴达、新兴等煤矿项目建设。支持东荣一、二、三矿，集贤煤矿智能化建设，全面提升煤矿机械化、信息化、智能化、自动化水平，释放煤炭优质产能。</w:t>
      </w:r>
      <w:r>
        <w:rPr>
          <w:rFonts w:hint="eastAsia" w:ascii="仿宋_GB2312" w:hAnsi="仿宋_GB2312" w:eastAsia="仿宋_GB2312" w:cs="仿宋_GB2312"/>
          <w:b/>
          <w:bCs/>
          <w:color w:val="auto"/>
          <w:spacing w:val="11"/>
          <w:sz w:val="32"/>
          <w:szCs w:val="32"/>
          <w:highlight w:val="none"/>
          <w:lang w:val="en-US" w:eastAsia="zh-CN"/>
        </w:rPr>
        <w:t>推动产业结构优化。</w:t>
      </w:r>
      <w:r>
        <w:rPr>
          <w:rFonts w:hint="eastAsia" w:ascii="仿宋_GB2312" w:hAnsi="仿宋_GB2312" w:eastAsia="仿宋_GB2312" w:cs="仿宋_GB2312"/>
          <w:color w:val="auto"/>
          <w:spacing w:val="11"/>
          <w:sz w:val="32"/>
          <w:szCs w:val="32"/>
          <w:highlight w:val="none"/>
          <w:lang w:val="en-US" w:eastAsia="zh-CN"/>
        </w:rPr>
        <w:t>以科技创新为重点，夯实机械加工制造业、化工产业根基，重点推进龙冶镀锌铁线及钢绞线项目投产增效；推进华东橡胶炭黑尾气净化再利用项目提质升级，盛安民爆乳化炸药稳能稳产，助力产业结构更加优化，加快形成“新质生产力”。</w:t>
      </w:r>
      <w:r>
        <w:rPr>
          <w:rFonts w:hint="eastAsia" w:ascii="仿宋_GB2312" w:hAnsi="仿宋_GB2312" w:eastAsia="仿宋_GB2312" w:cs="仿宋_GB2312"/>
          <w:b/>
          <w:bCs/>
          <w:color w:val="auto"/>
          <w:spacing w:val="11"/>
          <w:sz w:val="32"/>
          <w:szCs w:val="32"/>
          <w:highlight w:val="none"/>
          <w:lang w:val="en-US" w:eastAsia="zh-CN"/>
        </w:rPr>
        <w:t>突出产业融合增值。</w:t>
      </w:r>
      <w:r>
        <w:rPr>
          <w:rFonts w:hint="eastAsia" w:ascii="仿宋_GB2312" w:hAnsi="仿宋_GB2312" w:eastAsia="仿宋_GB2312" w:cs="仿宋_GB2312"/>
          <w:color w:val="auto"/>
          <w:spacing w:val="11"/>
          <w:sz w:val="32"/>
          <w:szCs w:val="32"/>
          <w:highlight w:val="none"/>
          <w:lang w:val="en-US" w:eastAsia="zh-CN"/>
        </w:rPr>
        <w:t>利用太保镇近郊农业区位优势，三江农资大市场集聚优势，从传统种植向农资、农机、农贸流通角度转变，促进一产二产三产融合发展。</w:t>
      </w:r>
    </w:p>
    <w:p w14:paraId="52644853">
      <w:pPr>
        <w:keepNext w:val="0"/>
        <w:keepLines w:val="0"/>
        <w:pageBreakBefore w:val="0"/>
        <w:widowControl w:val="0"/>
        <w:kinsoku/>
        <w:wordWrap/>
        <w:overflowPunct/>
        <w:autoSpaceDE/>
        <w:autoSpaceDN/>
        <w:bidi w:val="0"/>
        <w:spacing w:line="592" w:lineRule="exact"/>
        <w:ind w:firstLine="684" w:firstLineChars="200"/>
        <w:rPr>
          <w:rFonts w:hint="eastAsia" w:ascii="仿宋_GB2312" w:hAnsi="仿宋_GB2312" w:eastAsia="仿宋_GB2312" w:cs="仿宋_GB2312"/>
          <w:color w:val="auto"/>
          <w:spacing w:val="11"/>
          <w:sz w:val="32"/>
          <w:szCs w:val="32"/>
          <w:lang w:val="en-US" w:eastAsia="zh-CN"/>
        </w:rPr>
      </w:pPr>
      <w:r>
        <w:rPr>
          <w:rFonts w:hint="eastAsia" w:ascii="楷体_GB2312" w:hAnsi="楷体_GB2312" w:eastAsia="楷体_GB2312" w:cs="楷体_GB2312"/>
          <w:color w:val="auto"/>
          <w:spacing w:val="11"/>
          <w:sz w:val="32"/>
          <w:szCs w:val="32"/>
          <w:lang w:val="en-US" w:eastAsia="zh-CN"/>
        </w:rPr>
        <w:t>（四）坚持农业升级、富民强村，打造乡村振兴示范样板。</w:t>
      </w:r>
      <w:r>
        <w:rPr>
          <w:rFonts w:hint="eastAsia" w:ascii="仿宋_GB2312" w:hAnsi="仿宋_GB2312" w:eastAsia="仿宋_GB2312" w:cs="仿宋_GB2312"/>
          <w:color w:val="auto"/>
          <w:spacing w:val="11"/>
          <w:sz w:val="32"/>
          <w:szCs w:val="32"/>
          <w:lang w:val="en-US" w:eastAsia="zh-CN"/>
        </w:rPr>
        <w:t>以乡村产业振兴为基础，以发展现代化大农业为主攻方向，以市委实施“四大工程”为重点，全面加快农业农村现代化进程，努力绘就农业强、农村美、农民富的乡村振兴美丽画卷。</w:t>
      </w:r>
      <w:r>
        <w:rPr>
          <w:rFonts w:hint="eastAsia" w:ascii="仿宋_GB2312" w:hAnsi="仿宋_GB2312" w:eastAsia="仿宋_GB2312" w:cs="仿宋_GB2312"/>
          <w:b/>
          <w:bCs/>
          <w:color w:val="auto"/>
          <w:spacing w:val="11"/>
          <w:sz w:val="32"/>
          <w:szCs w:val="32"/>
          <w:lang w:val="en-US" w:eastAsia="zh-CN"/>
        </w:rPr>
        <w:t>夯实粮食生产基础。</w:t>
      </w:r>
      <w:r>
        <w:rPr>
          <w:rFonts w:hint="eastAsia" w:ascii="仿宋_GB2312" w:hAnsi="仿宋_GB2312" w:eastAsia="仿宋_GB2312" w:cs="仿宋_GB2312"/>
          <w:color w:val="auto"/>
          <w:spacing w:val="11"/>
          <w:sz w:val="32"/>
          <w:szCs w:val="32"/>
          <w:lang w:val="en-US" w:eastAsia="zh-CN"/>
        </w:rPr>
        <w:t>深入实施“藏粮于地、藏粮于技”战略，始终把粮食安全摆在首位，抓好粮食产能提升，</w:t>
      </w:r>
      <w:r>
        <w:rPr>
          <w:rFonts w:hint="eastAsia" w:ascii="仿宋_GB2312" w:hAnsi="仿宋_GB2312" w:eastAsia="仿宋_GB2312" w:cs="仿宋_GB2312"/>
          <w:color w:val="auto"/>
          <w:spacing w:val="11"/>
          <w:sz w:val="32"/>
          <w:szCs w:val="32"/>
          <w:lang w:eastAsia="zh-CN"/>
        </w:rPr>
        <w:t>因地制宜发展适度规模经营，构建覆盖产前、产中、产后的“绿色增粮”服务体系，</w:t>
      </w:r>
      <w:r>
        <w:rPr>
          <w:rFonts w:hint="eastAsia" w:ascii="仿宋_GB2312" w:hAnsi="仿宋_GB2312" w:eastAsia="仿宋_GB2312" w:cs="仿宋_GB2312"/>
          <w:color w:val="auto"/>
          <w:spacing w:val="11"/>
          <w:sz w:val="32"/>
          <w:szCs w:val="32"/>
          <w:lang w:val="en-US" w:eastAsia="zh-CN"/>
        </w:rPr>
        <w:t>提高粮食生产效率和效益，确保全区粮食产能稳定在亿斤以上。加大对粮食种植扶持力度，争取各项惠农补贴，调动农民种粮和基层抓粮积极性。深化与高校、科研院所合作，引进适合本区域种植的优良品种，挖掘粮食增产潜力，实现提单产、稳面积、增总产，确保粮食作物耕种面积不少于</w:t>
      </w:r>
      <w:r>
        <w:rPr>
          <w:rFonts w:hint="eastAsia" w:ascii="仿宋_GB2312" w:hAnsi="仿宋_GB2312" w:eastAsia="仿宋_GB2312" w:cs="仿宋_GB2312"/>
          <w:color w:val="auto"/>
          <w:spacing w:val="11"/>
          <w:sz w:val="32"/>
          <w:szCs w:val="32"/>
          <w:highlight w:val="none"/>
          <w:lang w:val="en-US" w:eastAsia="zh-CN"/>
        </w:rPr>
        <w:t>11.5万亩。</w:t>
      </w:r>
      <w:r>
        <w:rPr>
          <w:rFonts w:hint="eastAsia" w:ascii="仿宋_GB2312" w:hAnsi="仿宋_GB2312" w:eastAsia="仿宋_GB2312" w:cs="仿宋_GB2312"/>
          <w:b/>
          <w:bCs/>
          <w:color w:val="auto"/>
          <w:spacing w:val="11"/>
          <w:sz w:val="32"/>
          <w:szCs w:val="32"/>
          <w:lang w:val="en-US" w:eastAsia="zh-CN"/>
        </w:rPr>
        <w:t>壮大特色产业发展。</w:t>
      </w:r>
      <w:r>
        <w:rPr>
          <w:rFonts w:hint="eastAsia" w:ascii="仿宋_GB2312" w:hAnsi="仿宋_GB2312" w:eastAsia="仿宋_GB2312" w:cs="仿宋_GB2312"/>
          <w:color w:val="auto"/>
          <w:spacing w:val="11"/>
          <w:sz w:val="32"/>
          <w:szCs w:val="32"/>
          <w:lang w:val="en-US" w:eastAsia="zh-CN"/>
        </w:rPr>
        <w:t>围绕主要粮食作物种植结构，科学调整玉米、大豆种植面积比率；在整体种植结构调整趋势上，增加经济作物种植面积。增加特色农产品供给，以“一村一品”为发展核心，重点推进高钙果、鲜食玉米、蚕蛾、蒜苗等产业发展，扩大肉驴、牛猪羊禽养殖规模。</w:t>
      </w:r>
      <w:r>
        <w:rPr>
          <w:rFonts w:hint="eastAsia" w:ascii="仿宋_GB2312" w:hAnsi="仿宋_GB2312" w:eastAsia="仿宋_GB2312" w:cs="仿宋_GB2312"/>
          <w:b/>
          <w:bCs/>
          <w:color w:val="auto"/>
          <w:spacing w:val="11"/>
          <w:sz w:val="32"/>
          <w:szCs w:val="32"/>
          <w:lang w:val="en-US" w:eastAsia="zh-CN"/>
        </w:rPr>
        <w:t>注重优质品牌培育。</w:t>
      </w:r>
      <w:r>
        <w:rPr>
          <w:rFonts w:hint="eastAsia" w:ascii="仿宋_GB2312" w:hAnsi="仿宋_GB2312" w:eastAsia="仿宋_GB2312" w:cs="仿宋_GB2312"/>
          <w:color w:val="auto"/>
          <w:spacing w:val="11"/>
          <w:sz w:val="32"/>
          <w:szCs w:val="32"/>
          <w:lang w:val="en-US" w:eastAsia="zh-CN"/>
        </w:rPr>
        <w:t>加大“四方家宴”品牌宣传推介力度，积极参加绿博会、农博会等平台展览，申请“黑土优品”</w:t>
      </w:r>
      <w:r>
        <w:rPr>
          <w:rFonts w:hint="eastAsia" w:ascii="仿宋_GB2312" w:hAnsi="仿宋_GB2312" w:eastAsia="仿宋_GB2312" w:cs="仿宋_GB2312"/>
          <w:color w:val="auto"/>
          <w:spacing w:val="11"/>
          <w:sz w:val="32"/>
          <w:szCs w:val="32"/>
          <w:highlight w:val="none"/>
          <w:lang w:val="en-US" w:eastAsia="zh-CN"/>
        </w:rPr>
        <w:t>授权，提高红树莓、黏玉米、粘豆包</w:t>
      </w:r>
      <w:r>
        <w:rPr>
          <w:rFonts w:hint="eastAsia" w:ascii="仿宋_GB2312" w:hAnsi="仿宋_GB2312" w:eastAsia="仿宋_GB2312" w:cs="仿宋_GB2312"/>
          <w:color w:val="auto"/>
          <w:spacing w:val="11"/>
          <w:sz w:val="32"/>
          <w:szCs w:val="32"/>
          <w:lang w:val="en-US" w:eastAsia="zh-CN"/>
        </w:rPr>
        <w:t>、富硒大米、中华烧酒等优质农特产品知名度、竞争力，持续提升品牌数量、质量、效益。</w:t>
      </w:r>
      <w:r>
        <w:rPr>
          <w:rFonts w:hint="eastAsia" w:ascii="仿宋_GB2312" w:hAnsi="仿宋_GB2312" w:eastAsia="仿宋_GB2312" w:cs="仿宋_GB2312"/>
          <w:b/>
          <w:bCs/>
          <w:color w:val="auto"/>
          <w:spacing w:val="11"/>
          <w:sz w:val="32"/>
          <w:szCs w:val="32"/>
          <w:lang w:val="en-US" w:eastAsia="zh-CN"/>
        </w:rPr>
        <w:t>加强黑土保护利用。</w:t>
      </w:r>
      <w:r>
        <w:rPr>
          <w:rFonts w:hint="eastAsia" w:ascii="仿宋_GB2312" w:hAnsi="仿宋_GB2312" w:eastAsia="仿宋_GB2312" w:cs="仿宋_GB2312"/>
          <w:color w:val="auto"/>
          <w:spacing w:val="11"/>
          <w:sz w:val="32"/>
          <w:szCs w:val="32"/>
          <w:lang w:val="en-US" w:eastAsia="zh-CN"/>
        </w:rPr>
        <w:t>在总结“田长制”改革经验基础上，建立完善“生态总长”新模式，探索工程与生物、农机与农艺相结合的综合治理模式，因地制宜、分区分类推进集中连片治理。推行深松轮作、保护性耕作、有机肥还田模式，提升黑土耕地质量。</w:t>
      </w:r>
    </w:p>
    <w:p w14:paraId="4196255F">
      <w:pPr>
        <w:keepNext w:val="0"/>
        <w:keepLines w:val="0"/>
        <w:pageBreakBefore w:val="0"/>
        <w:widowControl w:val="0"/>
        <w:kinsoku/>
        <w:wordWrap/>
        <w:overflowPunct/>
        <w:autoSpaceDE/>
        <w:autoSpaceDN/>
        <w:bidi w:val="0"/>
        <w:adjustRightInd/>
        <w:spacing w:line="592" w:lineRule="exact"/>
        <w:ind w:firstLine="684" w:firstLineChars="200"/>
        <w:jc w:val="both"/>
        <w:rPr>
          <w:rFonts w:hint="eastAsia" w:ascii="仿宋_GB2312" w:hAnsi="仿宋_GB2312" w:eastAsia="仿宋_GB2312" w:cs="仿宋_GB2312"/>
          <w:color w:val="auto"/>
          <w:spacing w:val="11"/>
          <w:sz w:val="32"/>
          <w:szCs w:val="32"/>
          <w:highlight w:val="none"/>
          <w:lang w:val="en-US" w:eastAsia="zh-CN"/>
        </w:rPr>
      </w:pPr>
      <w:r>
        <w:rPr>
          <w:rFonts w:hint="eastAsia" w:ascii="楷体_GB2312" w:eastAsia="楷体_GB2312" w:cs="楷体_GB2312"/>
          <w:color w:val="auto"/>
          <w:spacing w:val="11"/>
          <w:sz w:val="32"/>
          <w:szCs w:val="32"/>
          <w:highlight w:val="none"/>
          <w:lang w:eastAsia="zh-CN"/>
        </w:rPr>
        <w:t>（五）坚持生态优先、绿色低碳，厚植天蓝水清生态基底。</w:t>
      </w:r>
      <w:r>
        <w:rPr>
          <w:rFonts w:hint="eastAsia" w:ascii="仿宋_GB2312" w:hAnsi="仿宋_GB2312" w:eastAsia="仿宋_GB2312" w:cs="仿宋_GB2312"/>
          <w:color w:val="auto"/>
          <w:spacing w:val="11"/>
          <w:kern w:val="2"/>
          <w:sz w:val="32"/>
          <w:szCs w:val="32"/>
          <w:highlight w:val="none"/>
          <w:lang w:val="en-US" w:eastAsia="zh-CN" w:bidi="ar-SA"/>
        </w:rPr>
        <w:t>牢固树立和践行“两山”理念，坚持生态优先、绿色发展，借助市“四个品牌”优势，促进良好生态与文旅产业有机融合，更好地把绿水青山、冰天雪地转化为金山银山，以文旅特色涵养城区气质，全面提升城区承载能力和居民幸福指数。</w:t>
      </w:r>
      <w:r>
        <w:rPr>
          <w:rFonts w:hint="eastAsia" w:ascii="仿宋_GB2312" w:hAnsi="仿宋_GB2312" w:eastAsia="仿宋_GB2312" w:cs="仿宋_GB2312"/>
          <w:b/>
          <w:bCs/>
          <w:color w:val="auto"/>
          <w:spacing w:val="11"/>
          <w:sz w:val="32"/>
          <w:szCs w:val="32"/>
          <w:highlight w:val="none"/>
          <w:lang w:val="en-US" w:eastAsia="zh-CN"/>
        </w:rPr>
        <w:t>谋划生态修复增量。</w:t>
      </w:r>
      <w:r>
        <w:rPr>
          <w:rFonts w:hint="eastAsia" w:ascii="仿宋_GB2312" w:hAnsi="仿宋_GB2312" w:eastAsia="仿宋_GB2312" w:cs="仿宋_GB2312"/>
          <w:color w:val="auto"/>
          <w:spacing w:val="11"/>
          <w:sz w:val="32"/>
          <w:szCs w:val="32"/>
          <w:highlight w:val="none"/>
          <w:lang w:val="en-US" w:eastAsia="zh-CN"/>
        </w:rPr>
        <w:t>围绕双丰村周边及矿山生态修复土地增量，复耕复垦新增耕地，谋划利用煤矸石等固废料修复太保镇零星坑塘废弃地，以土地增量带动耕地增值。</w:t>
      </w:r>
      <w:r>
        <w:rPr>
          <w:rFonts w:hint="eastAsia" w:ascii="仿宋_GB2312" w:hAnsi="仿宋_GB2312" w:eastAsia="仿宋_GB2312" w:cs="仿宋_GB2312"/>
          <w:b/>
          <w:bCs/>
          <w:color w:val="auto"/>
          <w:spacing w:val="11"/>
          <w:sz w:val="32"/>
          <w:szCs w:val="32"/>
          <w:highlight w:val="none"/>
          <w:lang w:val="en-US" w:eastAsia="zh-CN"/>
        </w:rPr>
        <w:t>促进近郊旅游发展。</w:t>
      </w:r>
      <w:r>
        <w:rPr>
          <w:rFonts w:hint="eastAsia" w:ascii="仿宋_GB2312" w:hAnsi="仿宋_GB2312" w:eastAsia="仿宋_GB2312" w:cs="仿宋_GB2312"/>
          <w:color w:val="auto"/>
          <w:spacing w:val="11"/>
          <w:sz w:val="32"/>
          <w:szCs w:val="32"/>
          <w:highlight w:val="none"/>
          <w:lang w:val="en-US" w:eastAsia="zh-CN"/>
        </w:rPr>
        <w:t>打造“一区一带”精品旅游，推动城乡融合发展。依托紫云岭公益性公园、花海、农业示范园，建设集餐饮休闲、文化展演、农旅研学为一体的综合性旅游景区，举办各类文化旅游活动，发挥区域经济拉动作用。以农特产品推广、采摘为抓手，整合山河水库、九三百菇园、采摘棚室等资源，做好农旅融合，发展“太保镇乡村旅游带”。同时，对标哈尔滨市冰雪旅游创意、创新特色举措，充分挖掘我区冰雪资源优势，围绕紫云岭、山河水库、九三村等资源禀赋，策划冰雪旅游活动，大力发展冰雪经济。</w:t>
      </w:r>
      <w:r>
        <w:rPr>
          <w:rFonts w:hint="eastAsia" w:ascii="仿宋_GB2312" w:hAnsi="仿宋_GB2312" w:eastAsia="仿宋_GB2312" w:cs="仿宋_GB2312"/>
          <w:b/>
          <w:bCs/>
          <w:color w:val="auto"/>
          <w:spacing w:val="11"/>
          <w:sz w:val="32"/>
          <w:szCs w:val="32"/>
          <w:highlight w:val="none"/>
          <w:lang w:val="en-US" w:eastAsia="zh-CN"/>
        </w:rPr>
        <w:t>扎实推进文旅融合。</w:t>
      </w:r>
      <w:r>
        <w:rPr>
          <w:rFonts w:hint="eastAsia" w:ascii="仿宋_GB2312" w:hAnsi="仿宋_GB2312" w:eastAsia="仿宋_GB2312" w:cs="仿宋_GB2312"/>
          <w:color w:val="auto"/>
          <w:spacing w:val="11"/>
          <w:sz w:val="32"/>
          <w:szCs w:val="32"/>
          <w:highlight w:val="none"/>
          <w:lang w:val="en-US" w:eastAsia="zh-CN"/>
        </w:rPr>
        <w:t>坚持以文塑旅、以旅彰文，深入挖掘矿区文化，弘扬矿工精神，建成并运营好矿区文化馆，有效推动文化和旅游融合发展。大力发展创意设计产业，充分发挥“北沉香雕刻技艺”和“老七一驴肉制作技艺”入选区级市级和省级非物质文化遗产成果作用，进一步提升我区文创产业品牌影响力。</w:t>
      </w:r>
    </w:p>
    <w:p w14:paraId="1712048A">
      <w:pPr>
        <w:keepNext w:val="0"/>
        <w:keepLines w:val="0"/>
        <w:pageBreakBefore w:val="0"/>
        <w:widowControl w:val="0"/>
        <w:numPr>
          <w:ilvl w:val="0"/>
          <w:numId w:val="0"/>
        </w:numPr>
        <w:kinsoku/>
        <w:wordWrap/>
        <w:overflowPunct/>
        <w:topLinePunct/>
        <w:autoSpaceDE/>
        <w:autoSpaceDN/>
        <w:bidi w:val="0"/>
        <w:adjustRightInd/>
        <w:snapToGrid w:val="0"/>
        <w:spacing w:line="592" w:lineRule="exact"/>
        <w:ind w:firstLine="684"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楷体_GB2312" w:eastAsia="楷体_GB2312" w:cs="楷体_GB2312"/>
          <w:color w:val="auto"/>
          <w:spacing w:val="11"/>
          <w:sz w:val="32"/>
          <w:szCs w:val="32"/>
          <w:highlight w:val="none"/>
          <w:lang w:eastAsia="zh-CN"/>
        </w:rPr>
        <w:t>（六）</w:t>
      </w:r>
      <w:r>
        <w:rPr>
          <w:rFonts w:hint="eastAsia" w:ascii="楷体_GB2312" w:eastAsia="楷体_GB2312" w:cs="楷体_GB2312"/>
          <w:color w:val="auto"/>
          <w:spacing w:val="11"/>
          <w:sz w:val="32"/>
          <w:szCs w:val="32"/>
          <w:highlight w:val="none"/>
        </w:rPr>
        <w:t>坚持深化改革、</w:t>
      </w:r>
      <w:r>
        <w:rPr>
          <w:rFonts w:hint="eastAsia" w:ascii="楷体_GB2312" w:eastAsia="楷体_GB2312" w:cs="楷体_GB2312"/>
          <w:color w:val="auto"/>
          <w:spacing w:val="11"/>
          <w:sz w:val="32"/>
          <w:szCs w:val="32"/>
          <w:highlight w:val="none"/>
          <w:lang w:eastAsia="zh-CN"/>
        </w:rPr>
        <w:t>优化机制</w:t>
      </w:r>
      <w:r>
        <w:rPr>
          <w:rFonts w:hint="eastAsia" w:ascii="楷体_GB2312" w:eastAsia="楷体_GB2312" w:cs="楷体_GB2312"/>
          <w:color w:val="auto"/>
          <w:spacing w:val="11"/>
          <w:sz w:val="32"/>
          <w:szCs w:val="32"/>
          <w:highlight w:val="none"/>
        </w:rPr>
        <w:t>，激发创新创业充沛动能</w:t>
      </w:r>
      <w:r>
        <w:rPr>
          <w:rFonts w:hint="eastAsia" w:ascii="楷体_GB2312" w:eastAsia="楷体_GB2312" w:cs="楷体_GB2312"/>
          <w:color w:val="auto"/>
          <w:spacing w:val="11"/>
          <w:sz w:val="32"/>
          <w:szCs w:val="32"/>
          <w:highlight w:val="none"/>
          <w:lang w:eastAsia="zh-CN"/>
        </w:rPr>
        <w:t>。</w:t>
      </w:r>
      <w:r>
        <w:rPr>
          <w:rFonts w:hint="eastAsia" w:ascii="仿宋_GB2312" w:hAnsi="仿宋_GB2312" w:eastAsia="仿宋_GB2312" w:cs="仿宋_GB2312"/>
          <w:color w:val="auto"/>
          <w:spacing w:val="11"/>
          <w:sz w:val="32"/>
          <w:szCs w:val="32"/>
          <w:highlight w:val="none"/>
          <w:lang w:val="en-US" w:eastAsia="zh-CN"/>
        </w:rPr>
        <w:t>坚持向改革要发展，依托市委“四个动力”引擎，着力完善高质量发展、可持续振兴的体制机制，全面提升发展内生动力。</w:t>
      </w:r>
      <w:r>
        <w:rPr>
          <w:rFonts w:hint="eastAsia" w:ascii="仿宋_GB2312" w:hAnsi="仿宋_GB2312" w:eastAsia="仿宋_GB2312" w:cs="仿宋_GB2312"/>
          <w:b/>
          <w:bCs/>
          <w:color w:val="auto"/>
          <w:spacing w:val="11"/>
          <w:sz w:val="32"/>
          <w:szCs w:val="32"/>
          <w:highlight w:val="none"/>
          <w:lang w:val="en-US" w:eastAsia="zh-CN"/>
        </w:rPr>
        <w:t>深化重点领域改革。</w:t>
      </w:r>
      <w:r>
        <w:rPr>
          <w:rFonts w:hint="eastAsia" w:ascii="仿宋_GB2312" w:hAnsi="仿宋_GB2312" w:eastAsia="仿宋_GB2312" w:cs="仿宋_GB2312"/>
          <w:color w:val="auto"/>
          <w:spacing w:val="11"/>
          <w:sz w:val="32"/>
          <w:szCs w:val="32"/>
          <w:highlight w:val="none"/>
          <w:lang w:val="en-US" w:eastAsia="zh-CN"/>
        </w:rPr>
        <w:t>以经济体制改革为重点，加快融入全国统一大市场，落实市场准入负面清单制度，破除各种市场准入不合理的限制和隐性壁垒。深入推进紧密型医联体改革，加强基层医疗卫生服务体系建设，提高村（社区）医疗卫生服务便利性。</w:t>
      </w:r>
      <w:r>
        <w:rPr>
          <w:rFonts w:hint="eastAsia" w:ascii="仿宋_GB2312" w:hAnsi="仿宋_GB2312" w:eastAsia="仿宋_GB2312" w:cs="仿宋_GB2312"/>
          <w:b/>
          <w:bCs/>
          <w:color w:val="auto"/>
          <w:spacing w:val="11"/>
          <w:sz w:val="32"/>
          <w:szCs w:val="32"/>
          <w:highlight w:val="none"/>
          <w:lang w:val="en-US" w:eastAsia="zh-CN"/>
        </w:rPr>
        <w:t>提升科技创新能力。</w:t>
      </w:r>
      <w:r>
        <w:rPr>
          <w:rFonts w:hint="eastAsia" w:ascii="仿宋_GB2312" w:hAnsi="仿宋_GB2312" w:eastAsia="仿宋_GB2312" w:cs="仿宋_GB2312"/>
          <w:color w:val="auto"/>
          <w:spacing w:val="11"/>
          <w:sz w:val="32"/>
          <w:szCs w:val="32"/>
          <w:highlight w:val="none"/>
          <w:lang w:val="en-US" w:eastAsia="zh-CN"/>
        </w:rPr>
        <w:t>落实省委省政府《新时代龙江创新发展60条》政策措施，鼓励我区制造业企业注重研发投入，推进制造业由低端向中高端迈进。</w:t>
      </w:r>
      <w:r>
        <w:rPr>
          <w:rFonts w:hint="eastAsia" w:ascii="仿宋_GB2312" w:hAnsi="仿宋_GB2312" w:eastAsia="仿宋_GB2312" w:cs="仿宋_GB2312"/>
          <w:b/>
          <w:bCs/>
          <w:color w:val="auto"/>
          <w:spacing w:val="11"/>
          <w:sz w:val="32"/>
          <w:szCs w:val="32"/>
          <w:highlight w:val="none"/>
          <w:lang w:val="en-US" w:eastAsia="zh-CN"/>
        </w:rPr>
        <w:t>持续优化营商环境。</w:t>
      </w:r>
      <w:r>
        <w:rPr>
          <w:rFonts w:hint="eastAsia" w:ascii="仿宋_GB2312" w:hAnsi="仿宋_GB2312" w:eastAsia="仿宋_GB2312" w:cs="仿宋_GB2312"/>
          <w:color w:val="auto"/>
          <w:spacing w:val="11"/>
          <w:sz w:val="32"/>
          <w:szCs w:val="32"/>
          <w:highlight w:val="none"/>
          <w:lang w:val="en-US" w:eastAsia="zh-CN"/>
        </w:rPr>
        <w:t>加快推进政务服务数字化、智能化建设，提升政务服务质效。加强“诚信四方台”建设，坚持“理旧账”“践承诺”，为各类经营主体创造稳定、透明、规范、可预期的法治营商环境。落实省“振兴发展民营经济45条”惠企政策，提振民营企业发展信心。发挥党政领导联系民营企业制度优势，依法保护企业产权和企业家合法权益，全面构建“亲清”新型政商关系，促进民营经济做大做强。</w:t>
      </w:r>
      <w:r>
        <w:rPr>
          <w:rFonts w:hint="eastAsia" w:ascii="仿宋_GB2312" w:hAnsi="仿宋_GB2312" w:eastAsia="仿宋_GB2312" w:cs="仿宋_GB2312"/>
          <w:b/>
          <w:bCs/>
          <w:color w:val="auto"/>
          <w:spacing w:val="11"/>
          <w:sz w:val="32"/>
          <w:szCs w:val="32"/>
          <w:highlight w:val="none"/>
          <w:lang w:val="en-US" w:eastAsia="zh-CN"/>
        </w:rPr>
        <w:t>创新优化收入结构。</w:t>
      </w:r>
      <w:r>
        <w:rPr>
          <w:rFonts w:hint="eastAsia" w:ascii="仿宋_GB2312" w:hAnsi="仿宋_GB2312" w:eastAsia="仿宋_GB2312" w:cs="仿宋_GB2312"/>
          <w:color w:val="auto"/>
          <w:spacing w:val="11"/>
          <w:sz w:val="32"/>
          <w:szCs w:val="32"/>
          <w:highlight w:val="none"/>
          <w:lang w:val="en-US" w:eastAsia="zh-CN"/>
        </w:rPr>
        <w:t>调整辖区部分国有企业经营方式，逐步实行环卫、市政等公共服务事项有偿服务，实现国有企业市场化运营，将公益性服务转化为市场供给，通过创造市场需求带动三产发展，同步解决政企不分、企业负担沉重问题。</w:t>
      </w:r>
    </w:p>
    <w:p w14:paraId="643CC070">
      <w:pPr>
        <w:keepNext w:val="0"/>
        <w:keepLines w:val="0"/>
        <w:pageBreakBefore w:val="0"/>
        <w:widowControl w:val="0"/>
        <w:numPr>
          <w:ilvl w:val="0"/>
          <w:numId w:val="0"/>
        </w:numPr>
        <w:kinsoku/>
        <w:wordWrap/>
        <w:overflowPunct/>
        <w:topLinePunct/>
        <w:autoSpaceDE/>
        <w:autoSpaceDN/>
        <w:bidi w:val="0"/>
        <w:adjustRightInd/>
        <w:snapToGrid w:val="0"/>
        <w:spacing w:line="592" w:lineRule="exact"/>
        <w:ind w:firstLine="684" w:firstLineChars="200"/>
        <w:jc w:val="both"/>
        <w:textAlignment w:val="auto"/>
        <w:rPr>
          <w:rFonts w:hint="eastAsia" w:ascii="仿宋" w:hAnsi="仿宋" w:eastAsia="仿宋" w:cs="仿宋"/>
          <w:color w:val="auto"/>
          <w:spacing w:val="11"/>
          <w:sz w:val="32"/>
          <w:szCs w:val="32"/>
          <w:highlight w:val="none"/>
          <w:lang w:eastAsia="zh-CN"/>
        </w:rPr>
      </w:pPr>
      <w:r>
        <w:rPr>
          <w:rFonts w:hint="eastAsia" w:ascii="楷体_GB2312" w:eastAsia="楷体_GB2312" w:cs="楷体_GB2312"/>
          <w:color w:val="auto"/>
          <w:spacing w:val="11"/>
          <w:sz w:val="32"/>
          <w:szCs w:val="32"/>
          <w:highlight w:val="none"/>
          <w:lang w:val="en-US" w:eastAsia="zh-CN"/>
        </w:rPr>
        <w:t>（七）坚持对外开放、合作共赢，着力增强创新发展活力。</w:t>
      </w:r>
      <w:r>
        <w:rPr>
          <w:rFonts w:hint="eastAsia" w:ascii="仿宋_GB2312" w:hAnsi="仿宋_GB2312" w:eastAsia="仿宋_GB2312" w:cs="仿宋_GB2312"/>
          <w:color w:val="auto"/>
          <w:spacing w:val="11"/>
          <w:sz w:val="32"/>
          <w:szCs w:val="32"/>
          <w:highlight w:val="none"/>
          <w:lang w:val="en-US" w:eastAsia="zh-CN"/>
        </w:rPr>
        <w:t>瞄准国内和国际两个市场、两种资源，依托市委“</w:t>
      </w:r>
      <w:r>
        <w:rPr>
          <w:rFonts w:hint="default" w:ascii="仿宋_GB2312" w:hAnsi="仿宋_GB2312" w:eastAsia="仿宋_GB2312" w:cs="仿宋_GB2312"/>
          <w:color w:val="auto"/>
          <w:spacing w:val="11"/>
          <w:sz w:val="32"/>
          <w:szCs w:val="32"/>
          <w:highlight w:val="none"/>
          <w:lang w:val="en-US" w:eastAsia="zh-CN"/>
        </w:rPr>
        <w:t>四个平台</w:t>
      </w:r>
      <w:r>
        <w:rPr>
          <w:rFonts w:hint="eastAsia" w:ascii="仿宋_GB2312" w:hAnsi="仿宋_GB2312" w:eastAsia="仿宋_GB2312" w:cs="仿宋_GB2312"/>
          <w:color w:val="auto"/>
          <w:spacing w:val="11"/>
          <w:sz w:val="32"/>
          <w:szCs w:val="32"/>
          <w:highlight w:val="none"/>
          <w:lang w:val="en-US" w:eastAsia="zh-CN"/>
        </w:rPr>
        <w:t>”，不断提升对内对外开放水平，构建四方台开放合作新格局。</w:t>
      </w:r>
      <w:r>
        <w:rPr>
          <w:rFonts w:hint="eastAsia" w:ascii="仿宋_GB2312" w:hAnsi="仿宋_GB2312" w:eastAsia="仿宋_GB2312" w:cs="仿宋_GB2312"/>
          <w:b/>
          <w:bCs/>
          <w:color w:val="auto"/>
          <w:spacing w:val="11"/>
          <w:sz w:val="32"/>
          <w:szCs w:val="32"/>
          <w:highlight w:val="none"/>
          <w:lang w:val="en-US" w:eastAsia="zh-CN"/>
        </w:rPr>
        <w:t>推进对外经贸交流。</w:t>
      </w:r>
      <w:r>
        <w:rPr>
          <w:rFonts w:hint="eastAsia" w:ascii="仿宋_GB2312" w:hAnsi="仿宋_GB2312" w:eastAsia="仿宋_GB2312" w:cs="仿宋_GB2312"/>
          <w:color w:val="auto"/>
          <w:spacing w:val="11"/>
          <w:sz w:val="32"/>
          <w:szCs w:val="32"/>
          <w:highlight w:val="none"/>
          <w:lang w:val="en-US" w:eastAsia="zh-CN"/>
        </w:rPr>
        <w:t>对接国内国际大市场需求，深度融入共建“一带一路”，积极参与“中蒙俄经济走廊”建设，通过进博会、投洽会、中俄博览会和哈洽会等，探索开拓国际经贸合作。</w:t>
      </w:r>
      <w:r>
        <w:rPr>
          <w:rFonts w:hint="eastAsia" w:ascii="仿宋_GB2312" w:hAnsi="仿宋_GB2312" w:eastAsia="仿宋_GB2312" w:cs="仿宋_GB2312"/>
          <w:b/>
          <w:bCs/>
          <w:color w:val="auto"/>
          <w:spacing w:val="11"/>
          <w:sz w:val="32"/>
          <w:szCs w:val="32"/>
          <w:highlight w:val="none"/>
          <w:lang w:val="en-US" w:eastAsia="zh-CN"/>
        </w:rPr>
        <w:t>助力国际物流建设。</w:t>
      </w:r>
      <w:r>
        <w:rPr>
          <w:rFonts w:hint="eastAsia" w:ascii="仿宋_GB2312" w:hAnsi="仿宋_GB2312" w:eastAsia="仿宋_GB2312" w:cs="仿宋_GB2312"/>
          <w:color w:val="auto"/>
          <w:spacing w:val="11"/>
          <w:sz w:val="32"/>
          <w:szCs w:val="32"/>
          <w:highlight w:val="none"/>
          <w:lang w:val="en-US" w:eastAsia="zh-CN"/>
        </w:rPr>
        <w:t>进一步增强向北开放的前沿意识、开放意识，发挥对俄合作区位优势，积极参与俄远东开发，助力佳同铁路电气化改造，围绕金沙岗货运站对俄出口贸易中转能力，协助做好双鸭山国际陆港型区域物流枢纽项目（含B型保税物流中心）招商建设工作，为“买全国卖全俄，买全俄卖全国”贡献四方台力量。</w:t>
      </w:r>
      <w:r>
        <w:rPr>
          <w:rFonts w:hint="eastAsia" w:ascii="仿宋_GB2312" w:hAnsi="仿宋_GB2312" w:eastAsia="仿宋_GB2312" w:cs="仿宋_GB2312"/>
          <w:b/>
          <w:bCs/>
          <w:color w:val="auto"/>
          <w:spacing w:val="11"/>
          <w:sz w:val="32"/>
          <w:szCs w:val="32"/>
          <w:highlight w:val="none"/>
          <w:lang w:val="en-US" w:eastAsia="zh-CN"/>
        </w:rPr>
        <w:t>强化对内区域合作。</w:t>
      </w:r>
      <w:r>
        <w:rPr>
          <w:rFonts w:hint="eastAsia" w:ascii="仿宋_GB2312" w:hAnsi="仿宋_GB2312" w:eastAsia="仿宋_GB2312" w:cs="仿宋_GB2312"/>
          <w:color w:val="auto"/>
          <w:spacing w:val="11"/>
          <w:sz w:val="32"/>
          <w:szCs w:val="32"/>
          <w:highlight w:val="none"/>
          <w:lang w:val="en-US" w:eastAsia="zh-CN"/>
        </w:rPr>
        <w:t>借助新一轮“双佛”对口合作机遇，探索与佛山在优势产业共建、文旅融合发展、乡村全面振兴、民生事业保障等领域深入合作；密切同市经开区交流协作，积极对接政务服务、产业项目、园区建设等各项工作，持续扩大招商引资成效，形成资源共享、利益共享、成果共享新格局。</w:t>
      </w:r>
      <w:r>
        <w:rPr>
          <w:rFonts w:hint="eastAsia" w:ascii="仿宋_GB2312" w:hAnsi="仿宋_GB2312" w:eastAsia="仿宋_GB2312" w:cs="仿宋_GB2312"/>
          <w:b/>
          <w:bCs/>
          <w:color w:val="auto"/>
          <w:spacing w:val="11"/>
          <w:sz w:val="32"/>
          <w:szCs w:val="32"/>
          <w:highlight w:val="none"/>
          <w:lang w:val="en-US" w:eastAsia="zh-CN"/>
        </w:rPr>
        <w:t>深化</w:t>
      </w:r>
      <w:r>
        <w:rPr>
          <w:rFonts w:hint="eastAsia" w:ascii="仿宋_GB2312" w:hAnsi="仿宋_GB2312" w:eastAsia="仿宋_GB2312" w:cs="仿宋_GB2312"/>
          <w:b/>
          <w:bCs/>
          <w:color w:val="auto"/>
          <w:spacing w:val="11"/>
          <w:sz w:val="32"/>
          <w:szCs w:val="32"/>
          <w:highlight w:val="none"/>
          <w:lang w:eastAsia="zh-CN"/>
        </w:rPr>
        <w:t>区</w:t>
      </w:r>
      <w:r>
        <w:rPr>
          <w:rFonts w:hint="eastAsia" w:ascii="仿宋_GB2312" w:hAnsi="仿宋_GB2312" w:eastAsia="仿宋_GB2312" w:cs="仿宋_GB2312"/>
          <w:b/>
          <w:bCs/>
          <w:color w:val="auto"/>
          <w:spacing w:val="11"/>
          <w:sz w:val="32"/>
          <w:szCs w:val="32"/>
          <w:highlight w:val="none"/>
          <w:lang w:val="en-US" w:eastAsia="zh-CN"/>
        </w:rPr>
        <w:t>矿基建</w:t>
      </w:r>
      <w:r>
        <w:rPr>
          <w:rFonts w:hint="eastAsia" w:ascii="仿宋_GB2312" w:hAnsi="仿宋_GB2312" w:eastAsia="仿宋_GB2312" w:cs="仿宋_GB2312"/>
          <w:b/>
          <w:bCs/>
          <w:color w:val="auto"/>
          <w:spacing w:val="11"/>
          <w:sz w:val="32"/>
          <w:szCs w:val="32"/>
          <w:highlight w:val="none"/>
          <w:lang w:eastAsia="zh-CN"/>
        </w:rPr>
        <w:t>合作。</w:t>
      </w:r>
      <w:r>
        <w:rPr>
          <w:rFonts w:hint="eastAsia" w:ascii="仿宋_GB2312" w:hAnsi="仿宋_GB2312" w:eastAsia="仿宋_GB2312" w:cs="仿宋_GB2312"/>
          <w:color w:val="auto"/>
          <w:spacing w:val="11"/>
          <w:sz w:val="32"/>
          <w:szCs w:val="32"/>
          <w:highlight w:val="none"/>
          <w:lang w:val="en-US" w:eastAsia="zh-CN"/>
        </w:rPr>
        <w:t>加快建设集贤、东荣独立工矿区生活污水处理设施，为龙煤双矿公司集贤煤矿、东荣煤矿解决工矿区环保问题的同时，减少国企环保投入。紧盯龙煤双矿公司煤矿技改项目继续深化合作，通过区矿合作推进土地生态修复，助力龙煤双矿公司聚焦主业，轻装上阵。</w:t>
      </w:r>
      <w:r>
        <w:rPr>
          <w:rFonts w:hint="eastAsia" w:ascii="仿宋_GB2312" w:hAnsi="仿宋_GB2312" w:eastAsia="仿宋_GB2312" w:cs="仿宋_GB2312"/>
          <w:b/>
          <w:bCs/>
          <w:color w:val="auto"/>
          <w:spacing w:val="11"/>
          <w:sz w:val="32"/>
          <w:szCs w:val="32"/>
          <w:highlight w:val="none"/>
          <w:lang w:val="en-US" w:eastAsia="zh-CN"/>
        </w:rPr>
        <w:t>拓展垦地农业合作。</w:t>
      </w:r>
      <w:r>
        <w:rPr>
          <w:rFonts w:hint="eastAsia" w:ascii="仿宋_GB2312" w:hAnsi="仿宋_GB2312" w:eastAsia="仿宋_GB2312" w:cs="仿宋_GB2312"/>
          <w:color w:val="auto"/>
          <w:spacing w:val="11"/>
          <w:sz w:val="32"/>
          <w:szCs w:val="32"/>
          <w:highlight w:val="none"/>
          <w:lang w:val="en-US" w:eastAsia="zh-CN"/>
        </w:rPr>
        <w:t>在与双鸭山农场开展前期合作基础上，对复垦整理后土地，谋划与农垦合作整体发包，进行规模经营，加快耕地经营管理专业化、规范化、机械化、信息化、智能化进程。</w:t>
      </w:r>
    </w:p>
    <w:p w14:paraId="7598688E">
      <w:pPr>
        <w:keepNext w:val="0"/>
        <w:keepLines w:val="0"/>
        <w:pageBreakBefore w:val="0"/>
        <w:widowControl w:val="0"/>
        <w:numPr>
          <w:ilvl w:val="0"/>
          <w:numId w:val="0"/>
        </w:numPr>
        <w:kinsoku/>
        <w:wordWrap/>
        <w:overflowPunct/>
        <w:topLinePunct/>
        <w:autoSpaceDE/>
        <w:autoSpaceDN/>
        <w:bidi w:val="0"/>
        <w:adjustRightInd/>
        <w:snapToGrid w:val="0"/>
        <w:spacing w:line="592" w:lineRule="exact"/>
        <w:ind w:firstLine="684" w:firstLineChars="200"/>
        <w:jc w:val="both"/>
        <w:textAlignment w:val="auto"/>
        <w:rPr>
          <w:rFonts w:hint="eastAsia" w:ascii="仿宋_GB2312" w:eastAsia="仿宋_GB2312" w:cs="仿宋_GB2312"/>
          <w:color w:val="auto"/>
          <w:spacing w:val="11"/>
          <w:sz w:val="32"/>
          <w:szCs w:val="32"/>
          <w:highlight w:val="none"/>
        </w:rPr>
      </w:pPr>
      <w:r>
        <w:rPr>
          <w:rFonts w:hint="eastAsia" w:ascii="楷体_GB2312" w:eastAsia="楷体_GB2312" w:cs="楷体_GB2312"/>
          <w:color w:val="auto"/>
          <w:spacing w:val="11"/>
          <w:sz w:val="32"/>
          <w:szCs w:val="32"/>
          <w:highlight w:val="none"/>
          <w:lang w:val="en-US" w:eastAsia="zh-CN"/>
        </w:rPr>
        <w:t>（八）坚持紧贴民需、增进民利，创造幸福四方台美好生活。</w:t>
      </w:r>
      <w:r>
        <w:rPr>
          <w:rFonts w:hint="eastAsia" w:ascii="仿宋_GB2312" w:hAnsi="仿宋_GB2312" w:eastAsia="仿宋_GB2312" w:cs="仿宋_GB2312"/>
          <w:color w:val="auto"/>
          <w:spacing w:val="11"/>
          <w:sz w:val="32"/>
          <w:szCs w:val="32"/>
          <w:highlight w:val="none"/>
          <w:lang w:val="en-US" w:eastAsia="zh-CN"/>
        </w:rPr>
        <w:t>坚持把人民对美好生活的向往作为奋斗目标，从人民群众关心的“关键小事”入手，加大普惠性、兜底性、基础性民生供给，保障民生投入，补齐民生短板，深入落实市委“四项行动”要求，不断增厚民生福祉。</w:t>
      </w:r>
      <w:r>
        <w:rPr>
          <w:rFonts w:hint="eastAsia" w:ascii="仿宋_GB2312" w:eastAsia="仿宋_GB2312" w:cs="仿宋_GB2312"/>
          <w:b/>
          <w:bCs/>
          <w:color w:val="auto"/>
          <w:spacing w:val="11"/>
          <w:sz w:val="32"/>
          <w:szCs w:val="32"/>
          <w:highlight w:val="none"/>
        </w:rPr>
        <w:t>打造宜居环境。</w:t>
      </w:r>
      <w:r>
        <w:rPr>
          <w:rFonts w:hint="eastAsia" w:ascii="仿宋_GB2312" w:hAnsi="仿宋_GB2312" w:eastAsia="仿宋_GB2312" w:cs="仿宋_GB2312"/>
          <w:color w:val="auto"/>
          <w:spacing w:val="11"/>
          <w:sz w:val="32"/>
          <w:szCs w:val="32"/>
          <w:highlight w:val="none"/>
          <w:lang w:val="en-US" w:eastAsia="zh-CN"/>
        </w:rPr>
        <w:t>以抓好省级文明城市创建工作为契机，全力补齐基础设施建设短板，推进老旧管网改造、垃圾污水处理、饮用水质提升等工程，全方位打造更舒适、更便捷的人居生活环境。</w:t>
      </w:r>
      <w:r>
        <w:rPr>
          <w:rFonts w:hint="eastAsia" w:ascii="仿宋_GB2312" w:hAnsi="仿宋_GB2312" w:eastAsia="仿宋_GB2312" w:cs="仿宋_GB2312"/>
          <w:b w:val="0"/>
          <w:bCs w:val="0"/>
          <w:color w:val="auto"/>
          <w:spacing w:val="11"/>
          <w:sz w:val="32"/>
          <w:szCs w:val="32"/>
          <w:highlight w:val="none"/>
          <w:lang w:val="en-US" w:eastAsia="zh-CN"/>
        </w:rPr>
        <w:t>2024年计划新建凉亭2处，增置休闲座椅100余套、健身器材40余套，为城区居民休闲、娱乐提供保障。</w:t>
      </w:r>
      <w:r>
        <w:rPr>
          <w:rFonts w:hint="eastAsia" w:ascii="仿宋_GB2312" w:hAnsi="仿宋_GB2312" w:eastAsia="仿宋_GB2312" w:cs="仿宋_GB2312"/>
          <w:color w:val="auto"/>
          <w:spacing w:val="11"/>
          <w:sz w:val="32"/>
          <w:szCs w:val="32"/>
          <w:highlight w:val="none"/>
          <w:lang w:val="en-US" w:eastAsia="zh-CN"/>
        </w:rPr>
        <w:t>加大生态环境治理，统筹推进“山水林田湖草沙”一体化保护和系统治理，抓好环保督察反馈问题整改，坚决消除重度污染天气、城乡黑臭水体、黑土耕地污染源。</w:t>
      </w:r>
      <w:r>
        <w:rPr>
          <w:rFonts w:hint="eastAsia" w:ascii="仿宋_GB2312" w:eastAsia="仿宋_GB2312" w:cs="仿宋_GB2312"/>
          <w:b/>
          <w:bCs/>
          <w:color w:val="auto"/>
          <w:spacing w:val="11"/>
          <w:sz w:val="32"/>
          <w:szCs w:val="32"/>
          <w:highlight w:val="none"/>
        </w:rPr>
        <w:t>夯实民生保障。</w:t>
      </w:r>
      <w:r>
        <w:rPr>
          <w:rFonts w:hint="eastAsia" w:ascii="仿宋_GB2312" w:hAnsi="仿宋_GB2312" w:eastAsia="仿宋_GB2312" w:cs="仿宋_GB2312"/>
          <w:color w:val="auto"/>
          <w:spacing w:val="11"/>
          <w:sz w:val="32"/>
          <w:szCs w:val="32"/>
          <w:highlight w:val="none"/>
          <w:lang w:val="en-US" w:eastAsia="zh-CN"/>
        </w:rPr>
        <w:t>加强扶弱救助，兜牢基本民生保障底线，推进城乡养老、医疗等社会保障制度有效衔接。健全老年人医、食、住、行、娱保障，完善基本养老服务体系，加快推进城乡社区配建养老服务设施达标率。深入推广“尊崇工作法”，做好拥军优属优抚工作。</w:t>
      </w:r>
      <w:r>
        <w:rPr>
          <w:rFonts w:hint="eastAsia" w:ascii="仿宋_GB2312" w:hAnsi="仿宋_GB2312" w:eastAsia="仿宋_GB2312" w:cs="仿宋_GB2312"/>
          <w:b/>
          <w:bCs/>
          <w:color w:val="auto"/>
          <w:spacing w:val="11"/>
          <w:sz w:val="32"/>
          <w:szCs w:val="32"/>
          <w:highlight w:val="none"/>
          <w:lang w:val="en-US" w:eastAsia="zh-CN"/>
        </w:rPr>
        <w:t>激发就业活力。</w:t>
      </w:r>
      <w:r>
        <w:rPr>
          <w:rFonts w:hint="eastAsia" w:ascii="仿宋_GB2312" w:hAnsi="仿宋_GB2312" w:eastAsia="仿宋_GB2312" w:cs="仿宋_GB2312"/>
          <w:color w:val="auto"/>
          <w:spacing w:val="11"/>
          <w:sz w:val="32"/>
          <w:szCs w:val="32"/>
          <w:highlight w:val="none"/>
          <w:lang w:val="en-US" w:eastAsia="zh-CN"/>
        </w:rPr>
        <w:t>围绕企业项目用工缺口，千方百计扩大就业，促进群众增收。设立企业、重点项目“就业服务专员”，做好用工信息发布、组织招聘、技能培训，在保障企业项目人力资源供给基础上，促进重点群体就业增收。积极落实就业政策，着力抓好职业技能水平提高和公共就业服务，推进高校毕业生、退役军人、转岗分流人员、农民工等重点群体就业。</w:t>
      </w:r>
      <w:r>
        <w:rPr>
          <w:rFonts w:hint="eastAsia" w:ascii="仿宋_GB2312" w:eastAsia="仿宋_GB2312" w:cs="仿宋_GB2312"/>
          <w:b/>
          <w:bCs/>
          <w:color w:val="auto"/>
          <w:spacing w:val="11"/>
          <w:sz w:val="32"/>
          <w:szCs w:val="32"/>
          <w:highlight w:val="none"/>
        </w:rPr>
        <w:t>提升人口素质。</w:t>
      </w:r>
      <w:r>
        <w:rPr>
          <w:rFonts w:hint="eastAsia" w:ascii="仿宋_GB2312" w:hAnsi="仿宋_GB2312" w:eastAsia="仿宋_GB2312" w:cs="仿宋_GB2312"/>
          <w:color w:val="auto"/>
          <w:spacing w:val="11"/>
          <w:sz w:val="32"/>
          <w:szCs w:val="32"/>
          <w:highlight w:val="none"/>
          <w:lang w:val="en-US" w:eastAsia="zh-CN"/>
        </w:rPr>
        <w:t>落实好生育政策及配套支持措施，减轻生育养育教育负担，营造良好人口环境。坚持教育优先发展，推动教育资源整合，优化上学座位、托幼园位。实施新时代基础教育质量提升工程，推进教育“双减”工作，统筹学前教育、义务教育均衡发展。大力发展体育事业，结合文旅融合发展框架，因地制宜开展群众喜闻乐见的健身体育活动。实施“人才兴区”战略，用活用好人才振兴各项政策，加快培育和引进一批符合我区转型高质量发展需求的招商、农科、工业、旅游、管理、城建、环保领域优秀人才。着力推进“健康四方台”建设，健全公共卫生和医疗体系，提升防控和救治能力。</w:t>
      </w:r>
      <w:r>
        <w:rPr>
          <w:rFonts w:hint="eastAsia" w:ascii="仿宋_GB2312" w:eastAsia="仿宋_GB2312" w:cs="仿宋_GB2312"/>
          <w:b/>
          <w:bCs/>
          <w:color w:val="auto"/>
          <w:spacing w:val="11"/>
          <w:sz w:val="32"/>
          <w:szCs w:val="32"/>
          <w:highlight w:val="none"/>
        </w:rPr>
        <w:t>提高</w:t>
      </w:r>
      <w:r>
        <w:rPr>
          <w:rFonts w:hint="eastAsia" w:ascii="仿宋_GB2312" w:eastAsia="仿宋_GB2312" w:cs="仿宋_GB2312"/>
          <w:b/>
          <w:bCs/>
          <w:color w:val="auto"/>
          <w:spacing w:val="11"/>
          <w:sz w:val="32"/>
          <w:szCs w:val="32"/>
          <w:highlight w:val="none"/>
          <w:lang w:val="en-US" w:eastAsia="zh-CN"/>
        </w:rPr>
        <w:t>治理</w:t>
      </w:r>
      <w:r>
        <w:rPr>
          <w:rFonts w:hint="eastAsia" w:ascii="仿宋_GB2312" w:eastAsia="仿宋_GB2312" w:cs="仿宋_GB2312"/>
          <w:b/>
          <w:bCs/>
          <w:color w:val="auto"/>
          <w:spacing w:val="11"/>
          <w:sz w:val="32"/>
          <w:szCs w:val="32"/>
          <w:highlight w:val="none"/>
        </w:rPr>
        <w:t>水平。</w:t>
      </w:r>
      <w:r>
        <w:rPr>
          <w:rFonts w:hint="eastAsia" w:ascii="仿宋_GB2312" w:hAnsi="仿宋_GB2312" w:eastAsia="仿宋_GB2312" w:cs="仿宋_GB2312"/>
          <w:color w:val="auto"/>
          <w:spacing w:val="11"/>
          <w:sz w:val="32"/>
          <w:szCs w:val="32"/>
          <w:highlight w:val="none"/>
          <w:lang w:val="en-US" w:eastAsia="zh-CN"/>
        </w:rPr>
        <w:t>完善应急管理、区域社会治理现代化，有效应对各类风险挑战。深入推进“平安四方台”建设，加大优质公共法律服务供给，健全基层矛盾纠纷预防、排查、化解工作机制。依法做好信访维稳工作，持续推动“扫黑除恶”长效常治，严厉打击各类违法犯罪行为。统筹做好民族宗教、食药监管、森林草原防灭火、防汛抗旱等工作。深入排查整治煤矿、非煤矿山、危化燃气、交通运输等重点行业领域安全隐患，坚决防范遏制重大安全生产事故发生。</w:t>
      </w:r>
      <w:r>
        <w:rPr>
          <w:rFonts w:hint="eastAsia" w:ascii="仿宋_GB2312" w:eastAsia="仿宋_GB2312" w:cs="仿宋_GB2312"/>
          <w:b/>
          <w:bCs/>
          <w:color w:val="auto"/>
          <w:spacing w:val="11"/>
          <w:sz w:val="32"/>
          <w:szCs w:val="32"/>
          <w:highlight w:val="none"/>
        </w:rPr>
        <w:t>维护和谐稳定。</w:t>
      </w:r>
      <w:r>
        <w:rPr>
          <w:rFonts w:hint="eastAsia" w:ascii="仿宋_GB2312" w:hAnsi="仿宋_GB2312" w:eastAsia="仿宋_GB2312" w:cs="仿宋_GB2312"/>
          <w:color w:val="auto"/>
          <w:spacing w:val="11"/>
          <w:sz w:val="32"/>
          <w:szCs w:val="32"/>
          <w:highlight w:val="none"/>
          <w:lang w:val="en-US" w:eastAsia="zh-CN"/>
        </w:rPr>
        <w:t>坚决扛起维护“五大安全”的政治使命，落实总体国家安全观，维护政权安全、制度安全和意识形态安全，压实基层意识形态、网络意识形态和网络安全工作责任，严格落实机要保密工作制度。持续强化经济、重大基础设施、金融、数据、生物、资源等安全保障。探索建立经济风险监测和预警机制，对重要产业、重点企业开展风险评估，提高产业弹性和抗冲击能力。深化涉众金融、市场流通等领域整治，妥善化解征地拆迁、劳资纠纷、物业纠纷等重点领域问题。</w:t>
      </w:r>
    </w:p>
    <w:p w14:paraId="1A03823C">
      <w:pPr>
        <w:pStyle w:val="15"/>
        <w:keepNext w:val="0"/>
        <w:keepLines w:val="0"/>
        <w:pageBreakBefore w:val="0"/>
        <w:widowControl w:val="0"/>
        <w:kinsoku/>
        <w:wordWrap/>
        <w:overflowPunct/>
        <w:topLinePunct/>
        <w:autoSpaceDE/>
        <w:autoSpaceDN/>
        <w:bidi w:val="0"/>
        <w:adjustRightInd/>
        <w:snapToGrid w:val="0"/>
        <w:spacing w:line="592" w:lineRule="exact"/>
        <w:ind w:left="0" w:leftChars="0" w:firstLine="684" w:firstLineChars="200"/>
        <w:jc w:val="both"/>
        <w:textAlignment w:val="auto"/>
        <w:rPr>
          <w:rFonts w:hint="eastAsia" w:ascii="黑体" w:hAnsi="黑体" w:eastAsia="黑体" w:cs="黑体"/>
          <w:color w:val="auto"/>
          <w:spacing w:val="11"/>
          <w:sz w:val="32"/>
          <w:szCs w:val="32"/>
          <w:highlight w:val="none"/>
        </w:rPr>
      </w:pPr>
      <w:r>
        <w:rPr>
          <w:rFonts w:hint="eastAsia" w:ascii="黑体" w:hAnsi="黑体" w:eastAsia="黑体" w:cs="黑体"/>
          <w:color w:val="auto"/>
          <w:spacing w:val="11"/>
          <w:sz w:val="32"/>
          <w:szCs w:val="32"/>
          <w:highlight w:val="none"/>
        </w:rPr>
        <w:t>三、加强政府自身建设</w:t>
      </w:r>
    </w:p>
    <w:p w14:paraId="7227112F">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楷体_GB2312" w:hAnsi="楷体_GB2312" w:eastAsia="楷体_GB2312" w:cs="楷体_GB2312"/>
          <w:b w:val="0"/>
          <w:bCs w:val="0"/>
          <w:color w:val="auto"/>
          <w:spacing w:val="11"/>
          <w:sz w:val="32"/>
          <w:szCs w:val="32"/>
          <w:highlight w:val="none"/>
        </w:rPr>
      </w:pPr>
      <w:r>
        <w:rPr>
          <w:rFonts w:hint="eastAsia" w:ascii="仿宋_GB2312" w:hAnsi="Calibri" w:eastAsia="仿宋_GB2312" w:cs="仿宋_GB2312"/>
          <w:b w:val="0"/>
          <w:bCs w:val="0"/>
          <w:color w:val="auto"/>
          <w:spacing w:val="11"/>
          <w:kern w:val="2"/>
          <w:sz w:val="32"/>
          <w:szCs w:val="32"/>
          <w:highlight w:val="none"/>
          <w:lang w:val="en-US" w:eastAsia="zh-CN" w:bidi="ar-SA"/>
        </w:rPr>
        <w:t>各位代表，打铁必须自身硬，新时代新征程重任在肩，高质量发展时不我待。我们将坚决扛牢改革发展稳定的时代责任，勇担使命任务，全面展现新气象、新作为，打造让党放心、让人民满意的“五型”政府。</w:t>
      </w:r>
    </w:p>
    <w:p w14:paraId="5A1AB7F3">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Calibri" w:eastAsia="仿宋_GB2312" w:cs="仿宋_GB2312"/>
          <w:b w:val="0"/>
          <w:bCs w:val="0"/>
          <w:color w:val="auto"/>
          <w:spacing w:val="11"/>
          <w:kern w:val="2"/>
          <w:sz w:val="32"/>
          <w:szCs w:val="32"/>
          <w:highlight w:val="none"/>
          <w:lang w:val="en-US" w:eastAsia="zh-CN" w:bidi="ar-SA"/>
        </w:rPr>
      </w:pPr>
      <w:r>
        <w:rPr>
          <w:rFonts w:hint="eastAsia" w:ascii="楷体_GB2312" w:hAnsi="楷体_GB2312" w:eastAsia="楷体_GB2312" w:cs="楷体_GB2312"/>
          <w:b w:val="0"/>
          <w:bCs w:val="0"/>
          <w:color w:val="auto"/>
          <w:spacing w:val="11"/>
          <w:sz w:val="32"/>
          <w:szCs w:val="32"/>
          <w:highlight w:val="none"/>
        </w:rPr>
        <w:t>（一）打造奋发笃行的担当型政府。</w:t>
      </w:r>
      <w:r>
        <w:rPr>
          <w:rFonts w:hint="eastAsia" w:ascii="仿宋_GB2312" w:hAnsi="Calibri" w:eastAsia="仿宋_GB2312" w:cs="仿宋_GB2312"/>
          <w:b w:val="0"/>
          <w:bCs w:val="0"/>
          <w:color w:val="auto"/>
          <w:spacing w:val="11"/>
          <w:kern w:val="2"/>
          <w:sz w:val="32"/>
          <w:szCs w:val="32"/>
          <w:highlight w:val="none"/>
          <w:lang w:val="en-US" w:eastAsia="zh-CN" w:bidi="ar-SA"/>
        </w:rPr>
        <w:t>把对党忠诚体现在实际行动</w:t>
      </w:r>
      <w:r>
        <w:rPr>
          <w:rFonts w:hint="eastAsia" w:ascii="仿宋_GB2312" w:eastAsia="仿宋_GB2312" w:cs="仿宋_GB2312"/>
          <w:b w:val="0"/>
          <w:bCs w:val="0"/>
          <w:color w:val="auto"/>
          <w:spacing w:val="11"/>
          <w:kern w:val="2"/>
          <w:sz w:val="32"/>
          <w:szCs w:val="32"/>
          <w:highlight w:val="none"/>
          <w:lang w:val="en-US" w:eastAsia="zh-CN" w:bidi="ar-SA"/>
        </w:rPr>
        <w:t>中</w:t>
      </w:r>
      <w:r>
        <w:rPr>
          <w:rFonts w:hint="eastAsia" w:ascii="仿宋_GB2312" w:hAnsi="Calibri" w:eastAsia="仿宋_GB2312" w:cs="仿宋_GB2312"/>
          <w:b w:val="0"/>
          <w:bCs w:val="0"/>
          <w:color w:val="auto"/>
          <w:spacing w:val="11"/>
          <w:kern w:val="2"/>
          <w:sz w:val="32"/>
          <w:szCs w:val="32"/>
          <w:highlight w:val="none"/>
          <w:lang w:val="en-US" w:eastAsia="zh-CN" w:bidi="ar-SA"/>
        </w:rPr>
        <w:t>，不折不扣落实</w:t>
      </w:r>
      <w:r>
        <w:rPr>
          <w:rFonts w:hint="eastAsia" w:ascii="仿宋_GB2312" w:eastAsia="仿宋_GB2312" w:cs="仿宋_GB2312"/>
          <w:b w:val="0"/>
          <w:bCs w:val="0"/>
          <w:color w:val="auto"/>
          <w:spacing w:val="11"/>
          <w:kern w:val="2"/>
          <w:sz w:val="32"/>
          <w:szCs w:val="32"/>
          <w:highlight w:val="none"/>
          <w:lang w:val="en-US" w:eastAsia="zh-CN" w:bidi="ar-SA"/>
        </w:rPr>
        <w:t>党</w:t>
      </w:r>
      <w:r>
        <w:rPr>
          <w:rFonts w:hint="eastAsia" w:ascii="仿宋_GB2312" w:hAnsi="Calibri" w:eastAsia="仿宋_GB2312" w:cs="仿宋_GB2312"/>
          <w:b w:val="0"/>
          <w:bCs w:val="0"/>
          <w:color w:val="auto"/>
          <w:spacing w:val="11"/>
          <w:kern w:val="2"/>
          <w:sz w:val="32"/>
          <w:szCs w:val="32"/>
          <w:highlight w:val="none"/>
          <w:lang w:val="en-US" w:eastAsia="zh-CN" w:bidi="ar-SA"/>
        </w:rPr>
        <w:t>中央、省委、市委决策部署和区委工作要求。主动在大局下想事、谋事、干事，以“事事有人办、人人</w:t>
      </w:r>
      <w:r>
        <w:rPr>
          <w:rFonts w:hint="eastAsia" w:ascii="仿宋_GB2312" w:eastAsia="仿宋_GB2312" w:cs="仿宋_GB2312"/>
          <w:b w:val="0"/>
          <w:bCs w:val="0"/>
          <w:color w:val="auto"/>
          <w:spacing w:val="11"/>
          <w:kern w:val="2"/>
          <w:sz w:val="32"/>
          <w:szCs w:val="32"/>
          <w:highlight w:val="none"/>
          <w:lang w:val="en-US" w:eastAsia="zh-CN" w:bidi="ar-SA"/>
        </w:rPr>
        <w:t>有</w:t>
      </w:r>
      <w:r>
        <w:rPr>
          <w:rFonts w:hint="eastAsia" w:ascii="仿宋_GB2312" w:hAnsi="Calibri" w:eastAsia="仿宋_GB2312" w:cs="仿宋_GB2312"/>
          <w:b w:val="0"/>
          <w:bCs w:val="0"/>
          <w:color w:val="auto"/>
          <w:spacing w:val="11"/>
          <w:kern w:val="2"/>
          <w:sz w:val="32"/>
          <w:szCs w:val="32"/>
          <w:highlight w:val="none"/>
          <w:lang w:val="en-US" w:eastAsia="zh-CN" w:bidi="ar-SA"/>
        </w:rPr>
        <w:t>担当、个个有作为”的思想自觉助推发展。把诚信政府建设作为优化营商环境的重要举措，强化“理旧账”的担当和能力，全面兑现政府承诺。树立敢于担当、崇尚实干的鲜明导向，认真落实容错纠错机制，真正为担当者担当、为负责者负责，让实干者得实惠、让有为者更有位。</w:t>
      </w:r>
    </w:p>
    <w:p w14:paraId="50AA3225">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Calibri" w:eastAsia="仿宋_GB2312" w:cs="仿宋_GB2312"/>
          <w:b w:val="0"/>
          <w:bCs w:val="0"/>
          <w:color w:val="auto"/>
          <w:spacing w:val="11"/>
          <w:kern w:val="2"/>
          <w:sz w:val="32"/>
          <w:szCs w:val="32"/>
          <w:highlight w:val="none"/>
          <w:lang w:val="en-US" w:eastAsia="zh-CN" w:bidi="ar-SA"/>
        </w:rPr>
      </w:pPr>
      <w:r>
        <w:rPr>
          <w:rFonts w:hint="eastAsia" w:ascii="楷体_GB2312" w:hAnsi="楷体_GB2312" w:eastAsia="楷体_GB2312" w:cs="楷体_GB2312"/>
          <w:b w:val="0"/>
          <w:bCs w:val="0"/>
          <w:color w:val="auto"/>
          <w:spacing w:val="11"/>
          <w:sz w:val="32"/>
          <w:szCs w:val="32"/>
          <w:highlight w:val="none"/>
        </w:rPr>
        <w:t>（二）打造规范严明的法治型政府。</w:t>
      </w:r>
      <w:r>
        <w:rPr>
          <w:rFonts w:hint="eastAsia" w:ascii="仿宋_GB2312" w:hAnsi="Calibri" w:eastAsia="仿宋_GB2312" w:cs="仿宋_GB2312"/>
          <w:b w:val="0"/>
          <w:bCs w:val="0"/>
          <w:color w:val="auto"/>
          <w:spacing w:val="11"/>
          <w:kern w:val="2"/>
          <w:sz w:val="32"/>
          <w:szCs w:val="32"/>
          <w:highlight w:val="none"/>
          <w:lang w:val="en-US" w:eastAsia="zh-CN" w:bidi="ar-SA"/>
        </w:rPr>
        <w:t>深入贯彻习近平法治思想，全面加强法治政府建设，深入开展“八五”普法工作，把依法行政贯穿政府工作</w:t>
      </w:r>
      <w:r>
        <w:rPr>
          <w:rFonts w:hint="eastAsia" w:ascii="仿宋_GB2312" w:eastAsia="仿宋_GB2312" w:cs="仿宋_GB2312"/>
          <w:b w:val="0"/>
          <w:bCs w:val="0"/>
          <w:color w:val="auto"/>
          <w:spacing w:val="11"/>
          <w:kern w:val="2"/>
          <w:sz w:val="32"/>
          <w:szCs w:val="32"/>
          <w:highlight w:val="none"/>
          <w:lang w:val="en-US" w:eastAsia="zh-CN" w:bidi="ar-SA"/>
        </w:rPr>
        <w:t>全过程、各方面</w:t>
      </w:r>
      <w:r>
        <w:rPr>
          <w:rFonts w:hint="eastAsia" w:ascii="仿宋_GB2312" w:hAnsi="Calibri" w:eastAsia="仿宋_GB2312" w:cs="仿宋_GB2312"/>
          <w:b w:val="0"/>
          <w:bCs w:val="0"/>
          <w:color w:val="auto"/>
          <w:spacing w:val="11"/>
          <w:kern w:val="2"/>
          <w:sz w:val="32"/>
          <w:szCs w:val="32"/>
          <w:highlight w:val="none"/>
          <w:lang w:val="en-US" w:eastAsia="zh-CN" w:bidi="ar-SA"/>
        </w:rPr>
        <w:t>。加大对政府系统法律顾问统筹建设，持续规范重大事项行政决策程序。严格执行人大及其常委会决议决定，认真办理人大代表建议和政协提案，自觉接受各方监督。坚持阳光用权，深化政务公开，加大政策</w:t>
      </w:r>
      <w:r>
        <w:rPr>
          <w:rFonts w:hint="eastAsia" w:ascii="仿宋_GB2312" w:eastAsia="仿宋_GB2312" w:cs="仿宋_GB2312"/>
          <w:b w:val="0"/>
          <w:bCs w:val="0"/>
          <w:color w:val="auto"/>
          <w:spacing w:val="11"/>
          <w:kern w:val="2"/>
          <w:sz w:val="32"/>
          <w:szCs w:val="32"/>
          <w:highlight w:val="none"/>
          <w:lang w:val="en-US" w:eastAsia="zh-CN" w:bidi="ar-SA"/>
        </w:rPr>
        <w:t>保障</w:t>
      </w:r>
      <w:r>
        <w:rPr>
          <w:rFonts w:hint="eastAsia" w:ascii="仿宋_GB2312" w:hAnsi="Calibri" w:eastAsia="仿宋_GB2312" w:cs="仿宋_GB2312"/>
          <w:b w:val="0"/>
          <w:bCs w:val="0"/>
          <w:color w:val="auto"/>
          <w:spacing w:val="11"/>
          <w:kern w:val="2"/>
          <w:sz w:val="32"/>
          <w:szCs w:val="32"/>
          <w:highlight w:val="none"/>
          <w:lang w:val="en-US" w:eastAsia="zh-CN" w:bidi="ar-SA"/>
        </w:rPr>
        <w:t>、民生事项、行政执法等方面公开力度。</w:t>
      </w:r>
    </w:p>
    <w:p w14:paraId="1ACE6D61">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Calibri" w:eastAsia="仿宋_GB2312" w:cs="仿宋_GB2312"/>
          <w:b w:val="0"/>
          <w:bCs w:val="0"/>
          <w:color w:val="auto"/>
          <w:spacing w:val="11"/>
          <w:kern w:val="2"/>
          <w:sz w:val="32"/>
          <w:szCs w:val="32"/>
          <w:highlight w:val="none"/>
          <w:lang w:val="en-US" w:eastAsia="zh-CN" w:bidi="ar-SA"/>
        </w:rPr>
      </w:pPr>
      <w:r>
        <w:rPr>
          <w:rFonts w:hint="eastAsia" w:ascii="楷体_GB2312" w:hAnsi="楷体_GB2312" w:eastAsia="楷体_GB2312" w:cs="楷体_GB2312"/>
          <w:b w:val="0"/>
          <w:bCs w:val="0"/>
          <w:color w:val="auto"/>
          <w:spacing w:val="11"/>
          <w:sz w:val="32"/>
          <w:szCs w:val="32"/>
          <w:highlight w:val="none"/>
        </w:rPr>
        <w:t>（三）打造高效执行的效能型政府。</w:t>
      </w:r>
      <w:r>
        <w:rPr>
          <w:rFonts w:hint="eastAsia" w:ascii="仿宋_GB2312" w:hAnsi="Calibri" w:eastAsia="仿宋_GB2312" w:cs="仿宋_GB2312"/>
          <w:b w:val="0"/>
          <w:bCs w:val="0"/>
          <w:color w:val="auto"/>
          <w:spacing w:val="11"/>
          <w:kern w:val="2"/>
          <w:sz w:val="32"/>
          <w:szCs w:val="32"/>
          <w:highlight w:val="none"/>
          <w:lang w:val="en-US" w:eastAsia="zh-CN" w:bidi="ar-SA"/>
        </w:rPr>
        <w:t>不搞形式主义，根治文山会海，真正为基层减压减负。建立完善闭环运行机制，</w:t>
      </w:r>
      <w:r>
        <w:rPr>
          <w:rFonts w:hint="eastAsia" w:ascii="仿宋_GB2312" w:eastAsia="仿宋_GB2312" w:cs="仿宋_GB2312"/>
          <w:b w:val="0"/>
          <w:bCs w:val="0"/>
          <w:color w:val="auto"/>
          <w:spacing w:val="11"/>
          <w:kern w:val="2"/>
          <w:sz w:val="32"/>
          <w:szCs w:val="32"/>
          <w:highlight w:val="none"/>
          <w:lang w:val="en-US" w:eastAsia="zh-CN" w:bidi="ar-SA"/>
        </w:rPr>
        <w:t>加大</w:t>
      </w:r>
      <w:r>
        <w:rPr>
          <w:rFonts w:hint="eastAsia" w:ascii="仿宋_GB2312" w:hAnsi="Calibri" w:eastAsia="仿宋_GB2312" w:cs="仿宋_GB2312"/>
          <w:b w:val="0"/>
          <w:bCs w:val="0"/>
          <w:color w:val="auto"/>
          <w:spacing w:val="11"/>
          <w:kern w:val="2"/>
          <w:sz w:val="32"/>
          <w:szCs w:val="32"/>
          <w:highlight w:val="none"/>
          <w:lang w:val="en-US" w:eastAsia="zh-CN" w:bidi="ar-SA"/>
        </w:rPr>
        <w:t>督查督办和问责追责力度，坚决整治庸政、懒政、怠政</w:t>
      </w:r>
      <w:r>
        <w:rPr>
          <w:rFonts w:hint="eastAsia" w:ascii="仿宋_GB2312" w:eastAsia="仿宋_GB2312" w:cs="仿宋_GB2312"/>
          <w:b w:val="0"/>
          <w:bCs w:val="0"/>
          <w:color w:val="auto"/>
          <w:spacing w:val="11"/>
          <w:kern w:val="2"/>
          <w:sz w:val="32"/>
          <w:szCs w:val="32"/>
          <w:highlight w:val="none"/>
          <w:lang w:val="en-US" w:eastAsia="zh-CN" w:bidi="ar-SA"/>
        </w:rPr>
        <w:t>不良</w:t>
      </w:r>
      <w:r>
        <w:rPr>
          <w:rFonts w:hint="eastAsia" w:ascii="仿宋_GB2312" w:hAnsi="Calibri" w:eastAsia="仿宋_GB2312" w:cs="仿宋_GB2312"/>
          <w:b w:val="0"/>
          <w:bCs w:val="0"/>
          <w:color w:val="auto"/>
          <w:spacing w:val="11"/>
          <w:kern w:val="2"/>
          <w:sz w:val="32"/>
          <w:szCs w:val="32"/>
          <w:highlight w:val="none"/>
          <w:lang w:val="en-US" w:eastAsia="zh-CN" w:bidi="ar-SA"/>
        </w:rPr>
        <w:t>作风，以政府的“效率指数”提升经济社会的“发展指数”和人民群众的“幸福指数”。</w:t>
      </w:r>
    </w:p>
    <w:p w14:paraId="1A595419">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Calibri" w:eastAsia="仿宋_GB2312" w:cs="仿宋_GB2312"/>
          <w:b w:val="0"/>
          <w:bCs w:val="0"/>
          <w:color w:val="auto"/>
          <w:spacing w:val="11"/>
          <w:kern w:val="2"/>
          <w:sz w:val="32"/>
          <w:szCs w:val="32"/>
          <w:highlight w:val="none"/>
          <w:lang w:val="en-US" w:eastAsia="zh-CN" w:bidi="ar-SA"/>
        </w:rPr>
      </w:pPr>
      <w:r>
        <w:rPr>
          <w:rFonts w:hint="eastAsia" w:ascii="楷体_GB2312" w:hAnsi="楷体_GB2312" w:eastAsia="楷体_GB2312" w:cs="楷体_GB2312"/>
          <w:b w:val="0"/>
          <w:bCs w:val="0"/>
          <w:color w:val="auto"/>
          <w:spacing w:val="11"/>
          <w:sz w:val="32"/>
          <w:szCs w:val="32"/>
          <w:highlight w:val="none"/>
        </w:rPr>
        <w:t>（四）打造人民满意的服务型政府。</w:t>
      </w:r>
      <w:r>
        <w:rPr>
          <w:rFonts w:hint="eastAsia" w:ascii="仿宋_GB2312" w:hAnsi="Calibri" w:eastAsia="仿宋_GB2312" w:cs="仿宋_GB2312"/>
          <w:b w:val="0"/>
          <w:bCs w:val="0"/>
          <w:color w:val="auto"/>
          <w:spacing w:val="11"/>
          <w:kern w:val="2"/>
          <w:sz w:val="32"/>
          <w:szCs w:val="32"/>
          <w:highlight w:val="none"/>
          <w:lang w:val="en-US" w:eastAsia="zh-CN" w:bidi="ar-SA"/>
        </w:rPr>
        <w:t>牢固树立全心全意为人民服务宗旨意识，秉持初心使命，处理好政府与企业、群众的关系，把政府摆在“店小二”“服务员”位置，尽心竭力优服务、提效率、转作风、抓落实。既要金杯，更要</w:t>
      </w:r>
      <w:r>
        <w:rPr>
          <w:rFonts w:hint="eastAsia" w:ascii="仿宋_GB2312" w:eastAsia="仿宋_GB2312" w:cs="仿宋_GB2312"/>
          <w:b w:val="0"/>
          <w:bCs w:val="0"/>
          <w:color w:val="auto"/>
          <w:spacing w:val="11"/>
          <w:kern w:val="2"/>
          <w:sz w:val="32"/>
          <w:szCs w:val="32"/>
          <w:highlight w:val="none"/>
          <w:lang w:val="en-US" w:eastAsia="zh-CN" w:bidi="ar-SA"/>
        </w:rPr>
        <w:t>群众</w:t>
      </w:r>
      <w:r>
        <w:rPr>
          <w:rFonts w:hint="eastAsia" w:ascii="仿宋_GB2312" w:hAnsi="Calibri" w:eastAsia="仿宋_GB2312" w:cs="仿宋_GB2312"/>
          <w:b w:val="0"/>
          <w:bCs w:val="0"/>
          <w:color w:val="auto"/>
          <w:spacing w:val="11"/>
          <w:kern w:val="2"/>
          <w:sz w:val="32"/>
          <w:szCs w:val="32"/>
          <w:highlight w:val="none"/>
          <w:lang w:val="en-US" w:eastAsia="zh-CN" w:bidi="ar-SA"/>
        </w:rPr>
        <w:t>口碑，以新担当、新作为，全力开创各项工作新局面。</w:t>
      </w:r>
    </w:p>
    <w:p w14:paraId="49ED4EC0">
      <w:pPr>
        <w:keepNext w:val="0"/>
        <w:keepLines w:val="0"/>
        <w:pageBreakBefore w:val="0"/>
        <w:widowControl w:val="0"/>
        <w:kinsoku/>
        <w:wordWrap/>
        <w:overflowPunct/>
        <w:topLinePunct/>
        <w:autoSpaceDE/>
        <w:autoSpaceDN/>
        <w:bidi w:val="0"/>
        <w:adjustRightInd/>
        <w:snapToGrid w:val="0"/>
        <w:spacing w:line="592" w:lineRule="exact"/>
        <w:ind w:left="0" w:firstLine="684" w:firstLineChars="200"/>
        <w:jc w:val="both"/>
        <w:textAlignment w:val="auto"/>
        <w:rPr>
          <w:rFonts w:hint="eastAsia" w:ascii="仿宋_GB2312" w:hAnsi="Calibri" w:eastAsia="仿宋_GB2312" w:cs="仿宋_GB2312"/>
          <w:b w:val="0"/>
          <w:bCs w:val="0"/>
          <w:color w:val="auto"/>
          <w:spacing w:val="11"/>
          <w:kern w:val="2"/>
          <w:sz w:val="32"/>
          <w:szCs w:val="32"/>
          <w:highlight w:val="none"/>
          <w:lang w:val="en-US" w:eastAsia="zh-CN" w:bidi="ar-SA"/>
        </w:rPr>
      </w:pPr>
      <w:r>
        <w:rPr>
          <w:rFonts w:hint="eastAsia" w:ascii="楷体_GB2312" w:hAnsi="楷体_GB2312" w:eastAsia="楷体_GB2312" w:cs="楷体_GB2312"/>
          <w:b w:val="0"/>
          <w:bCs w:val="0"/>
          <w:color w:val="auto"/>
          <w:spacing w:val="11"/>
          <w:sz w:val="32"/>
          <w:szCs w:val="32"/>
          <w:highlight w:val="none"/>
        </w:rPr>
        <w:t>（五）打造风清气正的廉洁型政府。</w:t>
      </w:r>
      <w:r>
        <w:rPr>
          <w:rFonts w:hint="eastAsia" w:ascii="仿宋_GB2312" w:hAnsi="Calibri" w:eastAsia="仿宋_GB2312" w:cs="仿宋_GB2312"/>
          <w:b w:val="0"/>
          <w:bCs w:val="0"/>
          <w:color w:val="auto"/>
          <w:spacing w:val="11"/>
          <w:kern w:val="2"/>
          <w:sz w:val="32"/>
          <w:szCs w:val="32"/>
          <w:highlight w:val="none"/>
          <w:lang w:val="en-US" w:eastAsia="zh-CN" w:bidi="ar-SA"/>
        </w:rPr>
        <w:t>坚决落实全面从严治党主体责任，深入推进党风廉政建设和反腐败斗争，加强政府系统党员干部教育管理，让廉洁从政成为政府的鲜明底色。完善权力运行监督机制，加强重点领域和关键岗位监管，强化行政执法监督，加</w:t>
      </w:r>
      <w:r>
        <w:rPr>
          <w:rFonts w:hint="eastAsia" w:ascii="仿宋_GB2312" w:eastAsia="仿宋_GB2312" w:cs="仿宋_GB2312"/>
          <w:b w:val="0"/>
          <w:bCs w:val="0"/>
          <w:color w:val="auto"/>
          <w:spacing w:val="11"/>
          <w:kern w:val="2"/>
          <w:sz w:val="32"/>
          <w:szCs w:val="32"/>
          <w:highlight w:val="none"/>
          <w:lang w:val="en-US" w:eastAsia="zh-CN" w:bidi="ar-SA"/>
        </w:rPr>
        <w:t>大</w:t>
      </w:r>
      <w:r>
        <w:rPr>
          <w:rFonts w:hint="eastAsia" w:ascii="仿宋_GB2312" w:hAnsi="Calibri" w:eastAsia="仿宋_GB2312" w:cs="仿宋_GB2312"/>
          <w:b w:val="0"/>
          <w:bCs w:val="0"/>
          <w:color w:val="auto"/>
          <w:spacing w:val="11"/>
          <w:kern w:val="2"/>
          <w:sz w:val="32"/>
          <w:szCs w:val="32"/>
          <w:highlight w:val="none"/>
          <w:lang w:val="en-US" w:eastAsia="zh-CN" w:bidi="ar-SA"/>
        </w:rPr>
        <w:t>审计监督</w:t>
      </w:r>
      <w:r>
        <w:rPr>
          <w:rFonts w:hint="eastAsia" w:ascii="仿宋_GB2312" w:eastAsia="仿宋_GB2312" w:cs="仿宋_GB2312"/>
          <w:b w:val="0"/>
          <w:bCs w:val="0"/>
          <w:color w:val="auto"/>
          <w:spacing w:val="11"/>
          <w:kern w:val="2"/>
          <w:sz w:val="32"/>
          <w:szCs w:val="32"/>
          <w:highlight w:val="none"/>
          <w:lang w:val="en-US" w:eastAsia="zh-CN" w:bidi="ar-SA"/>
        </w:rPr>
        <w:t>力度</w:t>
      </w:r>
      <w:r>
        <w:rPr>
          <w:rFonts w:hint="eastAsia" w:ascii="仿宋_GB2312" w:hAnsi="Calibri" w:eastAsia="仿宋_GB2312" w:cs="仿宋_GB2312"/>
          <w:b w:val="0"/>
          <w:bCs w:val="0"/>
          <w:color w:val="auto"/>
          <w:spacing w:val="11"/>
          <w:kern w:val="2"/>
          <w:sz w:val="32"/>
          <w:szCs w:val="32"/>
          <w:highlight w:val="none"/>
          <w:lang w:val="en-US" w:eastAsia="zh-CN" w:bidi="ar-SA"/>
        </w:rPr>
        <w:t>，</w:t>
      </w:r>
      <w:r>
        <w:rPr>
          <w:rFonts w:hint="eastAsia" w:ascii="仿宋_GB2312" w:eastAsia="仿宋_GB2312" w:cs="仿宋_GB2312"/>
          <w:b w:val="0"/>
          <w:bCs w:val="0"/>
          <w:color w:val="auto"/>
          <w:spacing w:val="11"/>
          <w:kern w:val="2"/>
          <w:sz w:val="32"/>
          <w:szCs w:val="32"/>
          <w:highlight w:val="none"/>
          <w:lang w:val="en-US" w:eastAsia="zh-CN" w:bidi="ar-SA"/>
        </w:rPr>
        <w:t>严格</w:t>
      </w:r>
      <w:r>
        <w:rPr>
          <w:rFonts w:hint="eastAsia" w:ascii="仿宋_GB2312" w:hAnsi="Calibri" w:eastAsia="仿宋_GB2312" w:cs="仿宋_GB2312"/>
          <w:b w:val="0"/>
          <w:bCs w:val="0"/>
          <w:color w:val="auto"/>
          <w:spacing w:val="11"/>
          <w:kern w:val="2"/>
          <w:sz w:val="32"/>
          <w:szCs w:val="32"/>
          <w:highlight w:val="none"/>
          <w:lang w:val="en-US" w:eastAsia="zh-CN" w:bidi="ar-SA"/>
        </w:rPr>
        <w:t>财政资金、国有资产资源监管</w:t>
      </w:r>
      <w:r>
        <w:rPr>
          <w:rFonts w:hint="eastAsia" w:ascii="仿宋_GB2312" w:eastAsia="仿宋_GB2312" w:cs="仿宋_GB2312"/>
          <w:b w:val="0"/>
          <w:bCs w:val="0"/>
          <w:color w:val="auto"/>
          <w:spacing w:val="11"/>
          <w:kern w:val="2"/>
          <w:sz w:val="32"/>
          <w:szCs w:val="32"/>
          <w:highlight w:val="none"/>
          <w:lang w:val="en-US" w:eastAsia="zh-CN" w:bidi="ar-SA"/>
        </w:rPr>
        <w:t>，缩减“三公”经费支出，</w:t>
      </w:r>
      <w:r>
        <w:rPr>
          <w:rFonts w:hint="eastAsia" w:ascii="仿宋_GB2312" w:hAnsi="Calibri" w:eastAsia="仿宋_GB2312" w:cs="仿宋_GB2312"/>
          <w:b w:val="0"/>
          <w:bCs w:val="0"/>
          <w:color w:val="auto"/>
          <w:spacing w:val="11"/>
          <w:kern w:val="2"/>
          <w:sz w:val="32"/>
          <w:szCs w:val="32"/>
          <w:highlight w:val="none"/>
          <w:lang w:val="en-US" w:eastAsia="zh-CN" w:bidi="ar-SA"/>
        </w:rPr>
        <w:t>规范公共资源交易，</w:t>
      </w:r>
      <w:r>
        <w:rPr>
          <w:rFonts w:hint="eastAsia" w:ascii="仿宋_GB2312" w:eastAsia="仿宋_GB2312" w:cs="仿宋_GB2312"/>
          <w:b w:val="0"/>
          <w:bCs w:val="0"/>
          <w:color w:val="auto"/>
          <w:spacing w:val="11"/>
          <w:kern w:val="2"/>
          <w:sz w:val="32"/>
          <w:szCs w:val="32"/>
          <w:highlight w:val="none"/>
          <w:lang w:val="en-US" w:eastAsia="zh-CN" w:bidi="ar-SA"/>
        </w:rPr>
        <w:t>着力打造勤俭务实、清正廉洁、高效精干的人民政府</w:t>
      </w:r>
      <w:r>
        <w:rPr>
          <w:rFonts w:hint="eastAsia" w:ascii="仿宋_GB2312" w:hAnsi="Calibri" w:eastAsia="仿宋_GB2312" w:cs="仿宋_GB2312"/>
          <w:b w:val="0"/>
          <w:bCs w:val="0"/>
          <w:color w:val="auto"/>
          <w:spacing w:val="11"/>
          <w:kern w:val="2"/>
          <w:sz w:val="32"/>
          <w:szCs w:val="32"/>
          <w:highlight w:val="none"/>
          <w:lang w:val="en-US" w:eastAsia="zh-CN" w:bidi="ar-SA"/>
        </w:rPr>
        <w:t>。</w:t>
      </w:r>
    </w:p>
    <w:p w14:paraId="30F70FAD">
      <w:pPr>
        <w:keepNext w:val="0"/>
        <w:keepLines w:val="0"/>
        <w:pageBreakBefore w:val="0"/>
        <w:widowControl w:val="0"/>
        <w:kinsoku/>
        <w:wordWrap/>
        <w:overflowPunct/>
        <w:autoSpaceDE/>
        <w:autoSpaceDN/>
        <w:bidi w:val="0"/>
        <w:spacing w:line="592" w:lineRule="exact"/>
        <w:ind w:firstLine="684" w:firstLineChars="200"/>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rPr>
        <w:t>各位代表，承关怀而奋起，知重任而担当。让我们更加紧密地团结在以习近平同志为核心的党中央周围，全面贯彻习近平总书记视察龙江的重要讲话重要指示精神，按照省市</w:t>
      </w:r>
      <w:r>
        <w:rPr>
          <w:rFonts w:hint="eastAsia" w:ascii="仿宋_GB2312" w:hAnsi="仿宋_GB2312" w:eastAsia="仿宋_GB2312" w:cs="仿宋_GB2312"/>
          <w:color w:val="auto"/>
          <w:spacing w:val="11"/>
          <w:sz w:val="32"/>
          <w:szCs w:val="32"/>
          <w:lang w:val="en-US" w:eastAsia="zh-CN"/>
        </w:rPr>
        <w:t>区委全会要求</w:t>
      </w:r>
      <w:r>
        <w:rPr>
          <w:rFonts w:hint="eastAsia" w:ascii="仿宋_GB2312" w:hAnsi="仿宋_GB2312" w:eastAsia="仿宋_GB2312" w:cs="仿宋_GB2312"/>
          <w:color w:val="auto"/>
          <w:spacing w:val="11"/>
          <w:sz w:val="32"/>
          <w:szCs w:val="32"/>
        </w:rPr>
        <w:t>部署，忠诚尽职、奋勇争先，把总书记的殷切期望和信任重托转化为不竭动力，以新时代新担当新作为奋力谱写四方台高质量发展、可持续振兴新篇章，为加快建设社会主义现代化四方台而努力奋斗！</w:t>
      </w:r>
    </w:p>
    <w:p w14:paraId="76734445">
      <w:pPr>
        <w:pStyle w:val="2"/>
        <w:keepNext w:val="0"/>
        <w:keepLines w:val="0"/>
        <w:pageBreakBefore w:val="0"/>
        <w:widowControl w:val="0"/>
        <w:kinsoku/>
        <w:wordWrap/>
        <w:overflowPunct/>
        <w:autoSpaceDE/>
        <w:autoSpaceDN/>
        <w:bidi w:val="0"/>
        <w:spacing w:after="0" w:line="592" w:lineRule="exact"/>
        <w:rPr>
          <w:rFonts w:hint="eastAsia"/>
          <w:color w:val="auto"/>
          <w:spacing w:val="11"/>
        </w:rPr>
      </w:pPr>
    </w:p>
    <w:p w14:paraId="0FEE417C">
      <w:pPr>
        <w:keepNext w:val="0"/>
        <w:keepLines w:val="0"/>
        <w:pageBreakBefore w:val="0"/>
        <w:widowControl w:val="0"/>
        <w:kinsoku/>
        <w:wordWrap/>
        <w:overflowPunct/>
        <w:autoSpaceDE/>
        <w:autoSpaceDN/>
        <w:bidi w:val="0"/>
        <w:spacing w:line="592" w:lineRule="exact"/>
        <w:rPr>
          <w:rFonts w:hint="eastAsia"/>
          <w:color w:val="auto"/>
          <w:spacing w:val="11"/>
        </w:rPr>
      </w:pPr>
    </w:p>
    <w:p w14:paraId="595B0A6D">
      <w:pPr>
        <w:pStyle w:val="2"/>
        <w:keepNext w:val="0"/>
        <w:keepLines w:val="0"/>
        <w:pageBreakBefore w:val="0"/>
        <w:widowControl w:val="0"/>
        <w:kinsoku/>
        <w:wordWrap/>
        <w:overflowPunct/>
        <w:autoSpaceDE/>
        <w:autoSpaceDN/>
        <w:bidi w:val="0"/>
        <w:spacing w:after="0" w:line="592" w:lineRule="exact"/>
        <w:rPr>
          <w:rFonts w:hint="eastAsia"/>
          <w:color w:val="auto"/>
          <w:spacing w:val="11"/>
        </w:rPr>
      </w:pPr>
    </w:p>
    <w:p w14:paraId="3B58E29D">
      <w:pPr>
        <w:keepNext w:val="0"/>
        <w:keepLines w:val="0"/>
        <w:pageBreakBefore w:val="0"/>
        <w:widowControl w:val="0"/>
        <w:kinsoku/>
        <w:wordWrap/>
        <w:overflowPunct/>
        <w:autoSpaceDE/>
        <w:autoSpaceDN/>
        <w:bidi w:val="0"/>
        <w:spacing w:line="592" w:lineRule="exact"/>
        <w:rPr>
          <w:rFonts w:hint="eastAsia"/>
          <w:color w:val="auto"/>
          <w:spacing w:val="11"/>
        </w:rPr>
      </w:pPr>
    </w:p>
    <w:p w14:paraId="4DC5DDE5">
      <w:pPr>
        <w:pStyle w:val="2"/>
        <w:keepNext w:val="0"/>
        <w:keepLines w:val="0"/>
        <w:pageBreakBefore w:val="0"/>
        <w:widowControl w:val="0"/>
        <w:kinsoku/>
        <w:wordWrap/>
        <w:overflowPunct/>
        <w:autoSpaceDE/>
        <w:autoSpaceDN/>
        <w:bidi w:val="0"/>
        <w:spacing w:after="0" w:line="592" w:lineRule="exact"/>
        <w:rPr>
          <w:rFonts w:hint="eastAsia"/>
          <w:color w:val="auto"/>
          <w:spacing w:val="11"/>
        </w:rPr>
      </w:pPr>
    </w:p>
    <w:p w14:paraId="17BA81AD">
      <w:pPr>
        <w:keepNext w:val="0"/>
        <w:keepLines w:val="0"/>
        <w:pageBreakBefore w:val="0"/>
        <w:widowControl w:val="0"/>
        <w:kinsoku/>
        <w:wordWrap/>
        <w:overflowPunct/>
        <w:autoSpaceDE/>
        <w:autoSpaceDN/>
        <w:bidi w:val="0"/>
        <w:spacing w:line="592" w:lineRule="exact"/>
        <w:rPr>
          <w:rFonts w:hint="eastAsia"/>
          <w:color w:val="auto"/>
          <w:spacing w:val="11"/>
        </w:rPr>
      </w:pPr>
    </w:p>
    <w:p w14:paraId="39EC864B">
      <w:pPr>
        <w:keepNext w:val="0"/>
        <w:keepLines w:val="0"/>
        <w:pageBreakBefore w:val="0"/>
        <w:widowControl w:val="0"/>
        <w:kinsoku/>
        <w:wordWrap/>
        <w:overflowPunct/>
        <w:autoSpaceDE/>
        <w:autoSpaceDN/>
        <w:bidi w:val="0"/>
        <w:spacing w:line="592" w:lineRule="exact"/>
        <w:rPr>
          <w:rFonts w:hint="eastAsia"/>
          <w:color w:val="auto"/>
          <w:spacing w:val="11"/>
        </w:rPr>
      </w:pPr>
    </w:p>
    <w:p w14:paraId="0200953D">
      <w:pPr>
        <w:pStyle w:val="2"/>
        <w:rPr>
          <w:rFonts w:hint="eastAsia"/>
          <w:lang w:val="en-US" w:eastAsia="zh-CN"/>
        </w:rPr>
      </w:pPr>
      <w:r>
        <w:rPr>
          <w:rFonts w:hint="eastAsia"/>
          <w:lang w:val="en-US" w:eastAsia="zh-CN"/>
        </w:rPr>
        <w:t xml:space="preserve">  </w:t>
      </w:r>
    </w:p>
    <w:p w14:paraId="0AC9E0A2">
      <w:pPr>
        <w:rPr>
          <w:rFonts w:hint="eastAsia"/>
          <w:lang w:val="en-US" w:eastAsia="zh-CN"/>
        </w:rPr>
      </w:pPr>
    </w:p>
    <w:p w14:paraId="12A5FD64">
      <w:pPr>
        <w:pStyle w:val="2"/>
        <w:rPr>
          <w:rFonts w:hint="eastAsia"/>
          <w:lang w:val="en-US" w:eastAsia="zh-CN"/>
        </w:rPr>
      </w:pPr>
    </w:p>
    <w:p w14:paraId="382AD6EA">
      <w:pPr>
        <w:rPr>
          <w:rFonts w:hint="eastAsia"/>
          <w:lang w:val="en-US" w:eastAsia="zh-CN"/>
        </w:rPr>
      </w:pPr>
    </w:p>
    <w:p w14:paraId="4F6F50CD">
      <w:pPr>
        <w:pStyle w:val="2"/>
        <w:rPr>
          <w:rFonts w:hint="eastAsia"/>
          <w:lang w:val="en-US" w:eastAsia="zh-CN"/>
        </w:rPr>
      </w:pPr>
    </w:p>
    <w:p w14:paraId="2BEB1F36">
      <w:pPr>
        <w:rPr>
          <w:rFonts w:hint="default"/>
          <w:lang w:val="en-US" w:eastAsia="zh-CN"/>
        </w:rPr>
      </w:pPr>
    </w:p>
    <w:p w14:paraId="4E0C0BB3">
      <w:pPr>
        <w:pStyle w:val="2"/>
        <w:rPr>
          <w:rFonts w:hint="default"/>
          <w:lang w:val="en-US" w:eastAsia="zh-CN"/>
        </w:rPr>
      </w:pPr>
    </w:p>
    <w:p w14:paraId="68E3A4C4">
      <w:pPr>
        <w:rPr>
          <w:rFonts w:hint="default"/>
          <w:lang w:val="en-US" w:eastAsia="zh-CN"/>
        </w:rPr>
      </w:pPr>
    </w:p>
    <w:p w14:paraId="7CD433A4">
      <w:pPr>
        <w:pStyle w:val="2"/>
        <w:rPr>
          <w:rFonts w:hint="default"/>
          <w:lang w:val="en-US" w:eastAsia="zh-CN"/>
        </w:rPr>
      </w:pPr>
    </w:p>
    <w:p w14:paraId="61FA1346">
      <w:pPr>
        <w:rPr>
          <w:rFonts w:hint="default"/>
          <w:lang w:val="en-US" w:eastAsia="zh-CN"/>
        </w:rPr>
      </w:pPr>
    </w:p>
    <w:p w14:paraId="25B1873F">
      <w:pPr>
        <w:pStyle w:val="2"/>
        <w:rPr>
          <w:rFonts w:hint="default"/>
          <w:lang w:val="en-US" w:eastAsia="zh-CN"/>
        </w:rPr>
      </w:pPr>
    </w:p>
    <w:p w14:paraId="50E73B79">
      <w:pPr>
        <w:rPr>
          <w:rFonts w:hint="default"/>
          <w:lang w:val="en-US" w:eastAsia="zh-CN"/>
        </w:rPr>
      </w:pPr>
    </w:p>
    <w:p w14:paraId="0D5EAB45">
      <w:pPr>
        <w:pStyle w:val="2"/>
        <w:rPr>
          <w:rFonts w:hint="default"/>
          <w:lang w:val="en-US" w:eastAsia="zh-CN"/>
        </w:rPr>
      </w:pPr>
    </w:p>
    <w:p w14:paraId="6DBCAE3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11"/>
          <w:kern w:val="0"/>
          <w:sz w:val="44"/>
          <w:szCs w:val="44"/>
          <w:highlight w:val="none"/>
          <w:lang w:eastAsia="zh-CN"/>
        </w:rPr>
      </w:pPr>
      <w:r>
        <w:rPr>
          <w:rFonts w:hint="eastAsia" w:ascii="方正小标宋简体" w:hAnsi="方正小标宋简体" w:eastAsia="方正小标宋简体" w:cs="方正小标宋简体"/>
          <w:color w:val="auto"/>
          <w:spacing w:val="11"/>
          <w:kern w:val="0"/>
          <w:sz w:val="44"/>
          <w:szCs w:val="44"/>
          <w:highlight w:val="none"/>
          <w:lang w:eastAsia="zh-CN"/>
        </w:rPr>
        <w:t>名 词 解 释</w:t>
      </w:r>
    </w:p>
    <w:p w14:paraId="3775A97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color w:val="auto"/>
          <w:spacing w:val="11"/>
          <w:kern w:val="0"/>
          <w:sz w:val="32"/>
          <w:szCs w:val="32"/>
          <w:highlight w:val="none"/>
          <w:lang w:eastAsia="zh-CN"/>
        </w:rPr>
        <w:t> </w:t>
      </w:r>
    </w:p>
    <w:p w14:paraId="4171257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1.“四个意识”：</w:t>
      </w:r>
      <w:r>
        <w:rPr>
          <w:rFonts w:hint="eastAsia" w:ascii="仿宋_GB2312" w:hAnsi="仿宋_GB2312" w:eastAsia="仿宋_GB2312" w:cs="仿宋_GB2312"/>
          <w:color w:val="auto"/>
          <w:spacing w:val="11"/>
          <w:kern w:val="0"/>
          <w:sz w:val="32"/>
          <w:szCs w:val="32"/>
          <w:highlight w:val="none"/>
          <w:lang w:eastAsia="zh-CN"/>
        </w:rPr>
        <w:t>政治意识、大局意识、核心意识、看齐意识。</w:t>
      </w:r>
    </w:p>
    <w:p w14:paraId="6FE553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2.“四个自信”：</w:t>
      </w:r>
      <w:r>
        <w:rPr>
          <w:rFonts w:hint="eastAsia" w:ascii="仿宋_GB2312" w:hAnsi="仿宋_GB2312" w:eastAsia="仿宋_GB2312" w:cs="仿宋_GB2312"/>
          <w:color w:val="auto"/>
          <w:spacing w:val="11"/>
          <w:kern w:val="0"/>
          <w:sz w:val="32"/>
          <w:szCs w:val="32"/>
          <w:highlight w:val="none"/>
          <w:lang w:eastAsia="zh-CN"/>
        </w:rPr>
        <w:t>道路自信、理论自信、制度自信、文化自信。</w:t>
      </w:r>
    </w:p>
    <w:p w14:paraId="3EE958F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3.“两个维护”：</w:t>
      </w:r>
      <w:r>
        <w:rPr>
          <w:rFonts w:hint="eastAsia" w:ascii="仿宋_GB2312" w:hAnsi="仿宋_GB2312" w:eastAsia="仿宋_GB2312" w:cs="仿宋_GB2312"/>
          <w:color w:val="auto"/>
          <w:spacing w:val="11"/>
          <w:kern w:val="0"/>
          <w:sz w:val="32"/>
          <w:szCs w:val="32"/>
          <w:highlight w:val="none"/>
          <w:lang w:eastAsia="zh-CN"/>
        </w:rPr>
        <w:t>坚决维护习近平总书记党中央的核心、全党的核心地位；坚决维护党中央权威和集中统一领导。</w:t>
      </w:r>
    </w:p>
    <w:p w14:paraId="43AD05C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sz w:val="32"/>
          <w:szCs w:val="32"/>
          <w:highlight w:val="none"/>
          <w:u w:val="none" w:color="auto"/>
          <w:lang w:eastAsia="zh-CN"/>
        </w:rPr>
      </w:pPr>
      <w:r>
        <w:rPr>
          <w:rFonts w:hint="eastAsia" w:ascii="黑体" w:hAnsi="黑体" w:eastAsia="黑体" w:cs="黑体"/>
          <w:color w:val="auto"/>
          <w:spacing w:val="11"/>
          <w:kern w:val="0"/>
          <w:sz w:val="32"/>
          <w:szCs w:val="32"/>
          <w:highlight w:val="none"/>
          <w:lang w:val="en-US" w:eastAsia="zh-CN" w:bidi="ar-SA"/>
        </w:rPr>
        <w:t>4.“五步工作法”</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eastAsia="zh-CN"/>
        </w:rPr>
        <w:t>预约错峰、导税分流、分类办理、峰值调控、延时服务。</w:t>
      </w:r>
    </w:p>
    <w:p w14:paraId="70FCAD8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5.“三供一业”</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供水、供电、供热和物业管理。</w:t>
      </w:r>
    </w:p>
    <w:p w14:paraId="1CBAC1E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6.“六清一修一改一建”</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eastAsia="zh-CN"/>
        </w:rPr>
        <w:t>清理农村积存垃圾、村内柴草垛、</w:t>
      </w:r>
      <w:r>
        <w:rPr>
          <w:rFonts w:hint="eastAsia" w:ascii="仿宋_GB2312" w:hAnsi="仿宋_GB2312" w:eastAsia="仿宋_GB2312" w:cs="仿宋_GB2312"/>
          <w:color w:val="auto"/>
          <w:spacing w:val="11"/>
          <w:kern w:val="0"/>
          <w:sz w:val="32"/>
          <w:szCs w:val="32"/>
          <w:highlight w:val="none"/>
          <w:lang w:val="en-US" w:eastAsia="zh-CN"/>
        </w:rPr>
        <w:t>残垣</w:t>
      </w:r>
      <w:r>
        <w:rPr>
          <w:rFonts w:hint="eastAsia" w:ascii="仿宋_GB2312" w:hAnsi="仿宋_GB2312" w:eastAsia="仿宋_GB2312" w:cs="仿宋_GB2312"/>
          <w:color w:val="auto"/>
          <w:spacing w:val="11"/>
          <w:kern w:val="0"/>
          <w:sz w:val="32"/>
          <w:szCs w:val="32"/>
          <w:highlight w:val="none"/>
          <w:lang w:eastAsia="zh-CN"/>
        </w:rPr>
        <w:t>断壁、村内沟塘、农户庭院、畜禽养殖粪污，修整栅栏，改变影响农村人居环境不良习惯，建立村庄清洁制度。</w:t>
      </w:r>
    </w:p>
    <w:p w14:paraId="47C3AB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7.“菜园革命”</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u w:val="none"/>
          <w:lang w:val="en-US" w:eastAsia="zh-CN"/>
        </w:rPr>
        <w:t>打造生态宜居、产游结合、创业增效、绿色特色的农村庭院“菜园”产业。</w:t>
      </w:r>
    </w:p>
    <w:p w14:paraId="0D7572A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8.“六大主导产业”</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煤炭、电力、钢铁、粮食加工、旅游和新材料。</w:t>
      </w:r>
    </w:p>
    <w:p w14:paraId="28F1CCE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sz w:val="32"/>
          <w:szCs w:val="32"/>
          <w:highlight w:val="none"/>
          <w:lang w:eastAsia="zh-CN"/>
        </w:rPr>
      </w:pPr>
      <w:r>
        <w:rPr>
          <w:rFonts w:hint="eastAsia" w:ascii="黑体" w:hAnsi="黑体" w:eastAsia="黑体" w:cs="黑体"/>
          <w:color w:val="auto"/>
          <w:spacing w:val="11"/>
          <w:kern w:val="0"/>
          <w:sz w:val="32"/>
          <w:szCs w:val="32"/>
          <w:highlight w:val="none"/>
          <w:lang w:val="en-US" w:eastAsia="zh-CN" w:bidi="ar-SA"/>
        </w:rPr>
        <w:t>9.“三个转变”</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资源优势向经济优势转变、煤炭经济向非煤经济转变、原料向材料转变。</w:t>
      </w:r>
    </w:p>
    <w:p w14:paraId="3D809FA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10.“双减”</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有效减轻义务教育阶段学生过重作业负担和校外培训负担。</w:t>
      </w:r>
    </w:p>
    <w:p w14:paraId="62BBC8C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11.“一村一品”</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一定区域范围内，以村为基本单位，按照国内外市场需求，充分发挥本地资源优势，通过大力推进规模化、标准化、品牌化和市场化建设，使一个村（或几个村）拥有一个（或几个）市场潜力大、区域特色明显、附加值高的主导产品和产业。</w:t>
      </w:r>
    </w:p>
    <w:p w14:paraId="4FF3ACA7">
      <w:pPr>
        <w:pStyle w:val="1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12.“三重一大”</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bidi="ar-SA"/>
        </w:rPr>
        <w:t>重大问题决策、重要干部任免、重大项目投资决策、大额资金使用</w:t>
      </w:r>
      <w:r>
        <w:rPr>
          <w:rFonts w:hint="eastAsia" w:ascii="仿宋_GB2312" w:hAnsi="仿宋_GB2312" w:eastAsia="仿宋_GB2312" w:cs="仿宋_GB2312"/>
          <w:color w:val="auto"/>
          <w:spacing w:val="11"/>
          <w:kern w:val="0"/>
          <w:sz w:val="32"/>
          <w:szCs w:val="32"/>
          <w:highlight w:val="none"/>
          <w:lang w:val="en-US" w:eastAsia="zh-CN"/>
        </w:rPr>
        <w:t>。</w:t>
      </w:r>
    </w:p>
    <w:p w14:paraId="490CD5A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13.“清四乱”</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清乱占、清乱采、清乱堆、清乱建。</w:t>
      </w:r>
    </w:p>
    <w:p w14:paraId="4CF6633B">
      <w:pPr>
        <w:pStyle w:val="1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14.“三减”</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bidi="ar-SA"/>
        </w:rPr>
        <w:t>减化肥、减农药、减除草剂。</w:t>
      </w:r>
    </w:p>
    <w:p w14:paraId="0D679FE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15.“八五”普法</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法制宣传教育的第八个五年规划（2021-2025）。</w:t>
      </w:r>
    </w:p>
    <w:p w14:paraId="28E3778B">
      <w:pPr>
        <w:pStyle w:val="1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16.“最多跑一次”改革：</w:t>
      </w:r>
      <w:r>
        <w:rPr>
          <w:rFonts w:hint="eastAsia" w:ascii="仿宋_GB2312" w:hAnsi="仿宋_GB2312" w:eastAsia="仿宋_GB2312" w:cs="仿宋_GB2312"/>
          <w:color w:val="auto"/>
          <w:spacing w:val="11"/>
          <w:kern w:val="0"/>
          <w:sz w:val="32"/>
          <w:szCs w:val="32"/>
          <w:highlight w:val="none"/>
          <w:lang w:val="en-US" w:eastAsia="zh-CN" w:bidi="ar-SA"/>
        </w:rPr>
        <w:t>通过“一窗受理、集成服务、一次办结”的服务模式创新，让企业和群众到政府办事实现“最多跑一次”的行政目标。</w:t>
      </w:r>
    </w:p>
    <w:p w14:paraId="05EB3C88">
      <w:pPr>
        <w:pStyle w:val="1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17.“新质生产力”：</w:t>
      </w:r>
      <w:r>
        <w:rPr>
          <w:rFonts w:hint="eastAsia" w:ascii="仿宋_GB2312" w:hAnsi="仿宋_GB2312" w:eastAsia="仿宋_GB2312" w:cs="仿宋_GB2312"/>
          <w:color w:val="auto"/>
          <w:spacing w:val="11"/>
          <w:kern w:val="0"/>
          <w:sz w:val="32"/>
          <w:szCs w:val="32"/>
          <w:highlight w:val="none"/>
          <w:lang w:val="en-US" w:eastAsia="zh-CN" w:bidi="ar-SA"/>
        </w:rPr>
        <w:t>指在科技发展和信息化进程中，通过创新和变革产生的新型生产力，体现了对生产方式、生产关系和生产要素的重新整合和优化。</w:t>
      </w:r>
    </w:p>
    <w:sectPr>
      <w:footerReference r:id="rId3" w:type="default"/>
      <w:pgSz w:w="11906" w:h="16838"/>
      <w:pgMar w:top="2098" w:right="1474" w:bottom="1984" w:left="1587" w:header="851" w:footer="158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7B7789-C962-42A7-9C5F-BBEF431805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4E7BAE-99BE-42F7-AD98-8011F9E705D8}"/>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51D1C037-7622-4782-A8DE-45618CF0516C}"/>
  </w:font>
  <w:font w:name="楷体">
    <w:panose1 w:val="02010609060101010101"/>
    <w:charset w:val="86"/>
    <w:family w:val="auto"/>
    <w:pitch w:val="default"/>
    <w:sig w:usb0="800002BF" w:usb1="38CF7CFA" w:usb2="00000016" w:usb3="00000000" w:csb0="00040001" w:csb1="00000000"/>
    <w:embedRegular r:id="rId4" w:fontKey="{ABE00EE3-D2CC-4C65-8913-4E99A53BE8D8}"/>
  </w:font>
  <w:font w:name="仿宋_GB2312">
    <w:panose1 w:val="02010609030101010101"/>
    <w:charset w:val="86"/>
    <w:family w:val="auto"/>
    <w:pitch w:val="default"/>
    <w:sig w:usb0="00000001" w:usb1="080E0000" w:usb2="00000000" w:usb3="00000000" w:csb0="00040000" w:csb1="00000000"/>
    <w:embedRegular r:id="rId5" w:fontKey="{D8000C5E-02AC-4A38-91CC-68D3EA2708F2}"/>
  </w:font>
  <w:font w:name="微软雅黑">
    <w:panose1 w:val="020B0503020204020204"/>
    <w:charset w:val="86"/>
    <w:family w:val="swiss"/>
    <w:pitch w:val="default"/>
    <w:sig w:usb0="80000287" w:usb1="2ACF3C50" w:usb2="00000016" w:usb3="00000000" w:csb0="0004001F" w:csb1="00000000"/>
    <w:embedRegular r:id="rId6" w:fontKey="{7CCF044C-F3D0-47A5-AD8C-19C174E3E147}"/>
  </w:font>
  <w:font w:name="仿宋">
    <w:panose1 w:val="02010609060101010101"/>
    <w:charset w:val="86"/>
    <w:family w:val="auto"/>
    <w:pitch w:val="default"/>
    <w:sig w:usb0="800002BF" w:usb1="38CF7CFA" w:usb2="00000016" w:usb3="00000000" w:csb0="00040001" w:csb1="00000000"/>
    <w:embedRegular r:id="rId7" w:fontKey="{30FFC050-2CF3-4704-8407-54197DC99C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0C63">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6479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64764"/>
                      </a:xfrm>
                      <a:prstGeom prst="rect">
                        <a:avLst/>
                      </a:prstGeom>
                      <a:noFill/>
                      <a:ln w="6350" cap="flat" cmpd="sng">
                        <a:noFill/>
                        <a:prstDash val="solid"/>
                        <a:round/>
                      </a:ln>
                    </wps:spPr>
                    <wps:txbx>
                      <w:txbxContent>
                        <w:p w14:paraId="25EA9EF2">
                          <w:pPr>
                            <w:pStyle w:val="16"/>
                            <w:rPr>
                              <w:rFonts w:hint="eastAsia" w:ascii="宋体" w:eastAsia="宋体" w:cs="宋体"/>
                              <w:sz w:val="28"/>
                              <w:szCs w:val="28"/>
                              <w:lang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1</w:t>
                          </w:r>
                          <w:r>
                            <w:rPr>
                              <w:rFonts w:hint="eastAsia" w:ascii="宋体" w:cs="宋体"/>
                              <w:sz w:val="28"/>
                              <w:szCs w:val="28"/>
                              <w:lang w:eastAsia="zh-CN"/>
                            </w:rPr>
                            <w:fldChar w:fldCharType="end"/>
                          </w:r>
                          <w:r>
                            <w:rPr>
                              <w:rFonts w:hint="eastAsia" w:ascii="宋体" w:cs="宋体"/>
                              <w:sz w:val="28"/>
                              <w:szCs w:val="28"/>
                              <w:lang w:val="en-US" w:eastAsia="zh-CN"/>
                            </w:rPr>
                            <w:t xml:space="preserve"> </w:t>
                          </w:r>
                          <w:r>
                            <w:rPr>
                              <w:rFonts w:hint="eastAsia" w:ascii="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85pt;width:49pt;mso-position-horizontal:outside;mso-position-horizontal-relative:margin;mso-wrap-style:none;z-index:251659264;mso-width-relative:page;mso-height-relative:page;" filled="f" stroked="f" coordsize="21600,21600" o:gfxdata="UEsDBAoAAAAAAIdO4kAAAAAAAAAAAAAAAAAEAAAAZHJzL1BLAwQUAAAACACHTuJANb6j9NYAAAAD&#10;AQAADwAAAGRycy9kb3ducmV2LnhtbE2PQUvEMBCF74L/IYzgZXGTLqJrbboHRQXRg3URvGWb2aZs&#10;M6lNtl399Y5e9PLg8Yb3vilWB9+JEYfYBtKQzRUIpDrYlhoN69e7syWImAxZ0wVCDZ8YYVUeHxUm&#10;t2GiFxyr1AguoZgbDS6lPpcy1g69ifPQI3G2DYM3ie3QSDuYict9JxdKXUhvWuIFZ3q8cVjvqr3X&#10;8HR7//42c49q8fw124apWo8fDzutT08ydQ0i4SH9HcMPPqNDyUybsCcbRaeBH0m/ytnVkt1Gw3l2&#10;CbIs5H/28htQSwMEFAAAAAgAh07iQEqiwlEBAgAA9AMAAA4AAABkcnMvZTJvRG9jLnhtbK1Ty47T&#10;MBTdI/EPlvc0aWcoKGo6QlSDkBCMNPABruM0lvzSvW6T8gHwB6zYsOe7+h1z7fQxGjazYJMcv869&#10;5/h4cTNYw3YKUHtX8+mk5Ew56RvtNjX/9vX21VvOMArXCOOdqvleIb9Zvnyx6EOlZr7zplHAiMRh&#10;1YeadzGGqihQdsoKnPigHC22HqyINIRN0YDoid2aYlaW86L30ATwUiHS7Gpc5EdGeA6hb1st1crL&#10;rVUujqygjIgkCTsdkC9zt22rZPzStqgiMzUnpTF/qQjhdfoWy4WoNiBCp+WxBfGcFp5oskI7Knqm&#10;Woko2Bb0P1RWS/Do2ziR3hajkOwIqZiWT7y570RQWQtZjeFsOv4/Wvl5dwdMN5QEzpywdOGHXz8P&#10;v/8e/vxg02RPH7CiXffhDo4jJJi0Di3Y9CcVbMiW7s+WqiEySZPz2eyqJLMlLc3m12/m14mzuBwO&#10;gPGD8pYlUHOgG8tGit0njOPW05ZUy/lbbQzNi8o41lOBq9eJXlASW0oAQRtIDbpNpnm0P9GsBHZs&#10;JygM6I1uxusHv3XNWMo4ai4pHjUmFIf1QIsJrn2zJ7fo8VCnnYfvnPUUnZo7eimcmY+Obial7ATg&#10;BNYnIJykgzWnRkf4Po5p3AbQm454y9w3hnfbSFqzBZfax+4oDNnEY3BT2h6P867LY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o/TWAAAAAwEAAA8AAAAAAAAAAQAgAAAAIgAAAGRycy9kb3du&#10;cmV2LnhtbFBLAQIUABQAAAAIAIdO4kBKosJRAQIAAPQDAAAOAAAAAAAAAAEAIAAAACUBAABkcnMv&#10;ZTJvRG9jLnhtbFBLBQYAAAAABgAGAFkBAACYBQAAAAA=&#10;">
              <v:fill on="f" focussize="0,0"/>
              <v:stroke on="f" weight="0.5pt" joinstyle="round"/>
              <v:imagedata o:title=""/>
              <o:lock v:ext="edit" aspectratio="f"/>
              <v:textbox inset="0mm,0mm,0mm,0mm" style="mso-fit-shape-to-text:t;">
                <w:txbxContent>
                  <w:p w14:paraId="25EA9EF2">
                    <w:pPr>
                      <w:pStyle w:val="16"/>
                      <w:rPr>
                        <w:rFonts w:hint="eastAsia" w:ascii="宋体" w:eastAsia="宋体" w:cs="宋体"/>
                        <w:sz w:val="28"/>
                        <w:szCs w:val="28"/>
                        <w:lang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1</w:t>
                    </w:r>
                    <w:r>
                      <w:rPr>
                        <w:rFonts w:hint="eastAsia" w:ascii="宋体" w:cs="宋体"/>
                        <w:sz w:val="28"/>
                        <w:szCs w:val="28"/>
                        <w:lang w:eastAsia="zh-CN"/>
                      </w:rPr>
                      <w:fldChar w:fldCharType="end"/>
                    </w:r>
                    <w:r>
                      <w:rPr>
                        <w:rFonts w:hint="eastAsia" w:ascii="宋体" w:cs="宋体"/>
                        <w:sz w:val="28"/>
                        <w:szCs w:val="28"/>
                        <w:lang w:val="en-US" w:eastAsia="zh-CN"/>
                      </w:rPr>
                      <w:t xml:space="preserve"> </w:t>
                    </w:r>
                    <w:r>
                      <w:rPr>
                        <w:rFonts w:hint="eastAsia" w:ascii="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TQzMWUzZWM1ODA1YjdmZTllMGU5NTk5Y2RiMjlkMTUifQ=="/>
  </w:docVars>
  <w:rsids>
    <w:rsidRoot w:val="00172A27"/>
    <w:rsid w:val="05CA44E8"/>
    <w:rsid w:val="06135229"/>
    <w:rsid w:val="06F2408C"/>
    <w:rsid w:val="07D94EB6"/>
    <w:rsid w:val="083B347B"/>
    <w:rsid w:val="089356DD"/>
    <w:rsid w:val="0A144604"/>
    <w:rsid w:val="0A4F320E"/>
    <w:rsid w:val="0A6B4005"/>
    <w:rsid w:val="0B252A29"/>
    <w:rsid w:val="0C1266E1"/>
    <w:rsid w:val="0D2B1D29"/>
    <w:rsid w:val="0EF44384"/>
    <w:rsid w:val="137E33B5"/>
    <w:rsid w:val="13F5673E"/>
    <w:rsid w:val="14937DCC"/>
    <w:rsid w:val="163D3CD7"/>
    <w:rsid w:val="1AE87493"/>
    <w:rsid w:val="1B0B6138"/>
    <w:rsid w:val="1B3D1ABF"/>
    <w:rsid w:val="1C77536B"/>
    <w:rsid w:val="1CB63A6E"/>
    <w:rsid w:val="1CD777BF"/>
    <w:rsid w:val="1FD2088D"/>
    <w:rsid w:val="208D4A74"/>
    <w:rsid w:val="22DC0A1F"/>
    <w:rsid w:val="23BC326A"/>
    <w:rsid w:val="23E01592"/>
    <w:rsid w:val="25C958CE"/>
    <w:rsid w:val="295D00EB"/>
    <w:rsid w:val="2D0B7011"/>
    <w:rsid w:val="2ED61F54"/>
    <w:rsid w:val="36943185"/>
    <w:rsid w:val="390F7E89"/>
    <w:rsid w:val="3A677922"/>
    <w:rsid w:val="3BCF45D4"/>
    <w:rsid w:val="3CB96AEC"/>
    <w:rsid w:val="3CD504A1"/>
    <w:rsid w:val="3D5828E3"/>
    <w:rsid w:val="3FA07894"/>
    <w:rsid w:val="40D66679"/>
    <w:rsid w:val="414679CD"/>
    <w:rsid w:val="414F3F68"/>
    <w:rsid w:val="416A0352"/>
    <w:rsid w:val="493F3E72"/>
    <w:rsid w:val="49553696"/>
    <w:rsid w:val="4C742873"/>
    <w:rsid w:val="4CE3798F"/>
    <w:rsid w:val="51C63DE2"/>
    <w:rsid w:val="52BB3E99"/>
    <w:rsid w:val="59721C18"/>
    <w:rsid w:val="5CFA0384"/>
    <w:rsid w:val="5D31181C"/>
    <w:rsid w:val="5DF91F50"/>
    <w:rsid w:val="5EF93130"/>
    <w:rsid w:val="60011A1B"/>
    <w:rsid w:val="602F0BED"/>
    <w:rsid w:val="61426734"/>
    <w:rsid w:val="61E241D9"/>
    <w:rsid w:val="62127F1E"/>
    <w:rsid w:val="6266278A"/>
    <w:rsid w:val="62751A14"/>
    <w:rsid w:val="63AD1F77"/>
    <w:rsid w:val="64402C33"/>
    <w:rsid w:val="66226A3B"/>
    <w:rsid w:val="688F2779"/>
    <w:rsid w:val="68CB0E27"/>
    <w:rsid w:val="69BC6344"/>
    <w:rsid w:val="6A8C23CA"/>
    <w:rsid w:val="6B962155"/>
    <w:rsid w:val="6BFC46B2"/>
    <w:rsid w:val="6CC50E50"/>
    <w:rsid w:val="6ED529FF"/>
    <w:rsid w:val="6EF95C23"/>
    <w:rsid w:val="75410DEE"/>
    <w:rsid w:val="772D36DE"/>
    <w:rsid w:val="797F7ACF"/>
    <w:rsid w:val="7D1024A6"/>
    <w:rsid w:val="7D43322A"/>
    <w:rsid w:val="7E9F77B6"/>
    <w:rsid w:val="7EA06BBB"/>
    <w:rsid w:val="7EBF8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4">
    <w:name w:val="heading 2"/>
    <w:basedOn w:val="1"/>
    <w:next w:val="1"/>
    <w:autoRedefine/>
    <w:qFormat/>
    <w:uiPriority w:val="0"/>
    <w:pPr>
      <w:widowControl w:val="0"/>
      <w:spacing w:before="100" w:beforeAutospacing="1" w:after="100" w:afterAutospacing="1"/>
      <w:jc w:val="left"/>
      <w:outlineLvl w:val="1"/>
    </w:pPr>
    <w:rPr>
      <w:rFonts w:ascii="宋体" w:eastAsia="宋体" w:cs="宋体"/>
      <w:b/>
      <w:kern w:val="0"/>
      <w:sz w:val="36"/>
      <w:szCs w:val="36"/>
      <w:lang w:val="en-US" w:eastAsia="zh-CN" w:bidi="ar-SA"/>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24">
    <w:name w:val="Default Paragraph Font"/>
    <w:autoRedefine/>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widowControl w:val="0"/>
      <w:suppressLineNumbers w:val="0"/>
      <w:spacing w:before="0" w:beforeAutospacing="0" w:after="120" w:afterAutospacing="0" w:line="240" w:lineRule="auto"/>
      <w:ind w:left="0" w:firstLine="0"/>
      <w:jc w:val="both"/>
    </w:pPr>
    <w:rPr>
      <w:rFonts w:ascii="Calibri" w:hAnsi="Calibri" w:eastAsia="宋体" w:cs="Calibri"/>
      <w:kern w:val="2"/>
      <w:sz w:val="21"/>
      <w:szCs w:val="24"/>
      <w:lang w:val="en-US" w:eastAsia="zh-CN"/>
    </w:r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宋体"/>
      <w:snapToGrid/>
      <w:color w:val="auto"/>
      <w:spacing w:val="0"/>
      <w:w w:val="100"/>
      <w:kern w:val="2"/>
      <w:position w:val="0"/>
      <w:sz w:val="21"/>
      <w:szCs w:val="21"/>
      <w:u w:val="none" w:color="auto"/>
      <w:shd w:val="clear" w:color="auto" w:fill="auto"/>
      <w:vertAlign w:val="baseline"/>
      <w:lang w:val="en-US" w:eastAsia="zh-CN"/>
    </w:rPr>
  </w:style>
  <w:style w:type="paragraph" w:styleId="8">
    <w:name w:val="index 5"/>
    <w:basedOn w:val="1"/>
    <w:next w:val="1"/>
    <w:autoRedefine/>
    <w:qFormat/>
    <w:uiPriority w:val="0"/>
    <w:pPr>
      <w:ind w:left="1680"/>
    </w:pPr>
  </w:style>
  <w:style w:type="paragraph" w:styleId="9">
    <w:name w:val="annotation text"/>
    <w:basedOn w:val="10"/>
    <w:autoRedefine/>
    <w:qFormat/>
    <w:uiPriority w:val="0"/>
    <w:pPr>
      <w:jc w:val="left"/>
    </w:pPr>
  </w:style>
  <w:style w:type="paragraph" w:customStyle="1" w:styleId="10">
    <w:name w:val="正文1"/>
    <w:autoRedefine/>
    <w:qFormat/>
    <w:uiPriority w:val="0"/>
    <w:pPr>
      <w:widowControl w:val="0"/>
      <w:suppressAutoHyphens w:val="0"/>
      <w:bidi w:val="0"/>
      <w:spacing w:before="0" w:after="0"/>
      <w:jc w:val="both"/>
    </w:pPr>
    <w:rPr>
      <w:rFonts w:ascii="Calibri" w:hAnsi="Calibri" w:eastAsia="宋体" w:cs="Times New Roman"/>
      <w:color w:val="auto"/>
      <w:kern w:val="2"/>
      <w:sz w:val="21"/>
      <w:szCs w:val="24"/>
      <w:lang w:val="en-US" w:eastAsia="zh-CN" w:bidi="ar-SA"/>
    </w:rPr>
  </w:style>
  <w:style w:type="paragraph" w:styleId="11">
    <w:name w:val="index 6"/>
    <w:basedOn w:val="1"/>
    <w:next w:val="1"/>
    <w:autoRedefine/>
    <w:qFormat/>
    <w:uiPriority w:val="0"/>
    <w:pPr>
      <w:ind w:left="2100"/>
    </w:pPr>
  </w:style>
  <w:style w:type="paragraph" w:styleId="12">
    <w:name w:val="Salutation"/>
    <w:basedOn w:val="1"/>
    <w:next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宋体"/>
      <w:snapToGrid/>
      <w:color w:val="auto"/>
      <w:spacing w:val="0"/>
      <w:w w:val="100"/>
      <w:kern w:val="2"/>
      <w:position w:val="0"/>
      <w:sz w:val="21"/>
      <w:szCs w:val="21"/>
      <w:u w:val="none" w:color="auto"/>
      <w:shd w:val="clear" w:color="auto" w:fill="auto"/>
      <w:vertAlign w:val="baseline"/>
      <w:lang w:val="en-US" w:eastAsia="zh-CN"/>
    </w:rPr>
  </w:style>
  <w:style w:type="paragraph" w:styleId="13">
    <w:name w:val="toc 5"/>
    <w:basedOn w:val="1"/>
    <w:next w:val="1"/>
    <w:autoRedefine/>
    <w:qFormat/>
    <w:uiPriority w:val="0"/>
    <w:pPr>
      <w:widowControl w:val="0"/>
      <w:spacing w:after="200" w:line="276" w:lineRule="auto"/>
      <w:ind w:left="800" w:leftChars="800"/>
      <w:jc w:val="both"/>
    </w:pPr>
    <w:rPr>
      <w:rFonts w:ascii="Calibri" w:hAnsi="Calibri" w:eastAsia="宋体" w:cs="Arial"/>
      <w:kern w:val="2"/>
      <w:sz w:val="21"/>
      <w:szCs w:val="22"/>
      <w:lang w:val="en-US" w:eastAsia="zh-CN"/>
    </w:rPr>
  </w:style>
  <w:style w:type="paragraph" w:styleId="14">
    <w:name w:val="toc 3"/>
    <w:basedOn w:val="1"/>
    <w:next w:val="1"/>
    <w:autoRedefine/>
    <w:qFormat/>
    <w:uiPriority w:val="0"/>
    <w:pPr>
      <w:ind w:left="400" w:leftChars="400"/>
    </w:pPr>
  </w:style>
  <w:style w:type="paragraph" w:styleId="15">
    <w:name w:val="Body Text Indent 2"/>
    <w:basedOn w:val="1"/>
    <w:next w:val="1"/>
    <w:autoRedefine/>
    <w:qFormat/>
    <w:uiPriority w:val="0"/>
    <w:pPr>
      <w:widowControl w:val="0"/>
      <w:tabs>
        <w:tab w:val="left" w:pos="420"/>
      </w:tabs>
      <w:spacing w:line="480" w:lineRule="auto"/>
      <w:ind w:left="200" w:leftChars="200"/>
      <w:jc w:val="both"/>
    </w:pPr>
    <w:rPr>
      <w:rFonts w:ascii="Times New Roman" w:hAnsi="Times New Roman" w:eastAsia="宋体" w:cs="Times New Roman"/>
      <w:kern w:val="2"/>
      <w:sz w:val="21"/>
      <w:szCs w:val="24"/>
      <w:lang w:val="en-US" w:eastAsia="zh-CN" w:bidi="ar-SA"/>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8">
    <w:name w:val="index 7"/>
    <w:basedOn w:val="1"/>
    <w:next w:val="1"/>
    <w:autoRedefine/>
    <w:qFormat/>
    <w:uiPriority w:val="0"/>
    <w:pPr>
      <w:ind w:left="2520"/>
    </w:pPr>
  </w:style>
  <w:style w:type="paragraph" w:styleId="1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20">
    <w:name w:val="Normal (Web)"/>
    <w:basedOn w:val="1"/>
    <w:next w:val="9"/>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hAnsi="Calibri" w:eastAsia="宋体" w:cs="宋体"/>
      <w:snapToGrid/>
      <w:color w:val="auto"/>
      <w:spacing w:val="0"/>
      <w:w w:val="100"/>
      <w:kern w:val="0"/>
      <w:position w:val="0"/>
      <w:sz w:val="24"/>
      <w:szCs w:val="24"/>
      <w:u w:val="none" w:color="auto"/>
      <w:shd w:val="clear" w:color="auto" w:fill="auto"/>
      <w:vertAlign w:val="baseline"/>
      <w:lang w:val="en-US" w:eastAsia="zh-CN"/>
    </w:rPr>
  </w:style>
  <w:style w:type="paragraph" w:styleId="21">
    <w:name w:val="Title"/>
    <w:basedOn w:val="1"/>
    <w:next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0"/>
    </w:pPr>
    <w:rPr>
      <w:rFonts w:ascii="Arial" w:hAnsi="Arial" w:eastAsia="宋体" w:cs="Times New Roman"/>
      <w:b/>
      <w:bCs/>
      <w:snapToGrid/>
      <w:color w:val="auto"/>
      <w:spacing w:val="0"/>
      <w:w w:val="100"/>
      <w:kern w:val="2"/>
      <w:position w:val="0"/>
      <w:sz w:val="32"/>
      <w:szCs w:val="32"/>
      <w:u w:val="none" w:color="auto"/>
      <w:shd w:val="clear" w:color="auto" w:fill="auto"/>
      <w:vertAlign w:val="baseline"/>
      <w:lang w:val="en-US" w:eastAsia="zh-CN"/>
    </w:rPr>
  </w:style>
  <w:style w:type="paragraph" w:styleId="22">
    <w:name w:val="Body Text First Indent"/>
    <w:basedOn w:val="2"/>
    <w:autoRedefine/>
    <w:qFormat/>
    <w:uiPriority w:val="0"/>
    <w:pPr>
      <w:ind w:firstLine="100" w:firstLineChars="100"/>
    </w:pPr>
    <w:rPr>
      <w:sz w:val="30"/>
    </w:rPr>
  </w:style>
  <w:style w:type="character" w:styleId="25">
    <w:name w:val="Strong"/>
    <w:basedOn w:val="24"/>
    <w:autoRedefine/>
    <w:qFormat/>
    <w:uiPriority w:val="0"/>
    <w:rPr>
      <w:b/>
    </w:rPr>
  </w:style>
  <w:style w:type="paragraph" w:customStyle="1" w:styleId="26">
    <w:name w:val="TableOfAuthoring"/>
    <w:basedOn w:val="1"/>
    <w:next w:val="1"/>
    <w:autoRedefine/>
    <w:qFormat/>
    <w:uiPriority w:val="0"/>
    <w:pPr>
      <w:ind w:left="200" w:leftChars="200"/>
      <w:jc w:val="both"/>
      <w:textAlignment w:val="baseline"/>
    </w:pPr>
  </w:style>
  <w:style w:type="paragraph" w:customStyle="1" w:styleId="27">
    <w:name w:val="页脚1"/>
    <w:basedOn w:val="10"/>
    <w:autoRedefine/>
    <w:qFormat/>
    <w:uiPriority w:val="0"/>
    <w:pPr>
      <w:tabs>
        <w:tab w:val="center" w:pos="4153"/>
        <w:tab w:val="right" w:pos="8306"/>
      </w:tabs>
      <w:snapToGrid w:val="0"/>
      <w:jc w:val="left"/>
    </w:pPr>
    <w:rPr>
      <w:sz w:val="18"/>
    </w:rPr>
  </w:style>
  <w:style w:type="paragraph" w:customStyle="1" w:styleId="28">
    <w:name w:val="首行缩进"/>
    <w:autoRedefine/>
    <w:qFormat/>
    <w:uiPriority w:val="0"/>
    <w:pPr>
      <w:widowControl w:val="0"/>
      <w:spacing w:line="240" w:lineRule="auto"/>
      <w:ind w:firstLine="0"/>
      <w:jc w:val="both"/>
    </w:pPr>
    <w:rPr>
      <w:rFonts w:ascii="Times New Roman" w:hAnsi="Times New Roman" w:eastAsia="宋体" w:cs="Times New Roman"/>
      <w:kern w:val="2"/>
      <w:sz w:val="30"/>
      <w:szCs w:val="28"/>
      <w:lang w:val="en-US" w:eastAsia="zh-CN" w:bidi="ar-SA"/>
    </w:rPr>
  </w:style>
  <w:style w:type="paragraph" w:customStyle="1" w:styleId="29">
    <w:name w:val="BodyText"/>
    <w:basedOn w:val="1"/>
    <w:next w:val="10"/>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0"/>
      <w:contextualSpacing w:val="0"/>
      <w:jc w:val="both"/>
      <w:textAlignment w:val="baseline"/>
      <w:outlineLvl w:val="9"/>
    </w:pPr>
    <w:rPr>
      <w:rFonts w:ascii="Calibri" w:hAnsi="Calibri" w:eastAsia="宋体" w:cs="宋体"/>
      <w:snapToGrid/>
      <w:color w:val="auto"/>
      <w:spacing w:val="0"/>
      <w:w w:val="100"/>
      <w:kern w:val="2"/>
      <w:position w:val="0"/>
      <w:sz w:val="21"/>
      <w:szCs w:val="21"/>
      <w:u w:val="none" w:color="auto"/>
      <w:shd w:val="clear" w:color="auto" w:fill="auto"/>
      <w:vertAlign w:val="baseline"/>
      <w:lang w:val="en-US" w:eastAsia="zh-CN"/>
    </w:rPr>
  </w:style>
  <w:style w:type="character" w:customStyle="1" w:styleId="30">
    <w:name w:val="NormalCharacter"/>
    <w:autoRedefine/>
    <w:qFormat/>
    <w:uiPriority w:val="0"/>
  </w:style>
  <w:style w:type="paragraph" w:customStyle="1" w:styleId="31">
    <w:name w:val="BodyText1I"/>
    <w:basedOn w:val="1"/>
    <w:autoRedefine/>
    <w:qFormat/>
    <w:uiPriority w:val="0"/>
    <w:pPr>
      <w:widowControl w:val="0"/>
      <w:spacing w:before="0" w:line="500" w:lineRule="exact"/>
      <w:ind w:firstLine="420"/>
      <w:jc w:val="both"/>
    </w:pPr>
    <w:rPr>
      <w:rFonts w:ascii="宋体" w:eastAsia="宋体" w:cs="Times New Roman"/>
      <w:w w:val="80"/>
      <w:kern w:val="24"/>
      <w:sz w:val="24"/>
      <w:szCs w:val="22"/>
      <w:lang w:val="en-US" w:eastAsia="zh-CN" w:bidi="ar-SA"/>
    </w:rPr>
  </w:style>
  <w:style w:type="paragraph" w:customStyle="1" w:styleId="32">
    <w:name w:val="UserStyle_0"/>
    <w:basedOn w:val="1"/>
    <w:autoRedefine/>
    <w:qFormat/>
    <w:uiPriority w:val="0"/>
    <w:pPr>
      <w:widowControl w:val="0"/>
      <w:jc w:val="both"/>
      <w:textAlignment w:val="baseline"/>
    </w:pPr>
    <w:rPr>
      <w:rFonts w:ascii="宋体" w:hAnsi="宋体" w:eastAsia="Times New Roman" w:cs="Times New Roman"/>
      <w:kern w:val="0"/>
      <w:sz w:val="21"/>
      <w:szCs w:val="24"/>
      <w:lang w:val="en-US" w:eastAsia="zh-CN" w:bidi="ar-SA"/>
    </w:rPr>
  </w:style>
  <w:style w:type="character" w:customStyle="1" w:styleId="33">
    <w:name w:val="15"/>
    <w:autoRedefine/>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12832</Words>
  <Characters>13144</Characters>
  <Lines>1</Lines>
  <Paragraphs>1</Paragraphs>
  <TotalTime>70</TotalTime>
  <ScaleCrop>false</ScaleCrop>
  <LinksUpToDate>false</LinksUpToDate>
  <CharactersWithSpaces>13159</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2021-08-26T06:32:00Z</dcterms:created>
  <dc:creator>Administrator</dc:creator>
  <cp:lastModifiedBy>a</cp:lastModifiedBy>
  <cp:lastPrinted>2024-01-09T08:40:00Z</cp:lastPrinted>
  <dcterms:modified xsi:type="dcterms:W3CDTF">2024-06-28T06:17:48Z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48C543F862C14227A3923608D0841B77_13</vt:lpwstr>
  </property>
</Properties>
</file>